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Times New Roman" w:hAnsi="Times New Roman" w:cs="Times New Roman"/>
          <w:szCs w:val="21"/>
          <w:highlight w:val="none"/>
        </w:rPr>
      </w:pPr>
      <w:r>
        <w:rPr>
          <w:rFonts w:hint="eastAsia" w:ascii="方正小标宋简体" w:hAnsi="方正小标宋简体" w:eastAsia="方正小标宋简体" w:cs="方正小标宋简体"/>
          <w:b w:val="0"/>
          <w:bCs w:val="0"/>
          <w:sz w:val="44"/>
          <w:szCs w:val="44"/>
          <w:highlight w:val="none"/>
          <w:u w:val="none"/>
          <w:lang w:val="en-US" w:eastAsia="zh-CN"/>
        </w:rPr>
        <w:t>FXHY小区7号8号楼装饰改造工程窗帘采购及安装项目</w:t>
      </w:r>
    </w:p>
    <w:p>
      <w:pPr>
        <w:pStyle w:val="7"/>
        <w:rPr>
          <w:rFonts w:ascii="Times New Roman" w:hAnsi="Times New Roman" w:cs="Times New Roman"/>
          <w:szCs w:val="21"/>
          <w:highlight w:val="none"/>
        </w:rPr>
      </w:pPr>
    </w:p>
    <w:p>
      <w:pPr>
        <w:rPr>
          <w:highlight w:val="none"/>
        </w:rPr>
      </w:pPr>
    </w:p>
    <w:p>
      <w:pPr>
        <w:pStyle w:val="7"/>
        <w:rPr>
          <w:rFonts w:ascii="Times New Roman" w:hAnsi="Times New Roman" w:cs="Times New Roman"/>
          <w:szCs w:val="21"/>
          <w:highlight w:val="none"/>
        </w:rPr>
      </w:pPr>
    </w:p>
    <w:p>
      <w:pPr>
        <w:pStyle w:val="7"/>
        <w:rPr>
          <w:rFonts w:ascii="Times New Roman" w:hAnsi="Times New Roman" w:cs="Times New Roman"/>
          <w:szCs w:val="21"/>
          <w:highlight w:val="none"/>
        </w:rPr>
      </w:pPr>
    </w:p>
    <w:p>
      <w:pPr>
        <w:pStyle w:val="8"/>
        <w:rPr>
          <w:rFonts w:ascii="Times New Roman" w:hAnsi="Times New Roman" w:cs="Times New Roman"/>
          <w:szCs w:val="21"/>
          <w:highlight w:val="none"/>
        </w:rPr>
      </w:pPr>
    </w:p>
    <w:p>
      <w:pPr>
        <w:jc w:val="center"/>
        <w:rPr>
          <w:rFonts w:hint="eastAsia" w:ascii="Times New Roman" w:hAnsi="Times New Roman" w:eastAsia="黑体" w:cs="Times New Roman"/>
          <w:sz w:val="72"/>
          <w:szCs w:val="72"/>
          <w:highlight w:val="none"/>
          <w:lang w:eastAsia="zh-CN"/>
        </w:rPr>
      </w:pPr>
      <w:r>
        <w:rPr>
          <w:rFonts w:ascii="Times New Roman" w:hAnsi="Times New Roman" w:eastAsia="黑体" w:cs="Times New Roman"/>
          <w:sz w:val="72"/>
          <w:szCs w:val="72"/>
          <w:highlight w:val="none"/>
        </w:rPr>
        <w:t>询  比  文  件</w:t>
      </w: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640"/>
        <w:rPr>
          <w:rFonts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highlight w:val="none"/>
          <w:u w:val="single"/>
        </w:rPr>
      </w:pPr>
      <w:r>
        <w:rPr>
          <w:rFonts w:ascii="Times New Roman" w:hAnsi="Times New Roman" w:eastAsia="黑体" w:cs="Times New Roman"/>
          <w:sz w:val="32"/>
          <w:szCs w:val="32"/>
          <w:highlight w:val="none"/>
        </w:rPr>
        <w:t>采</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购</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人：</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rPr>
        <w:t>安徽交控建设工程集团有限公司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none"/>
        </w:rPr>
      </w:pPr>
      <w:r>
        <w:rPr>
          <w:rFonts w:hint="eastAsia" w:ascii="黑体" w:hAnsi="黑体" w:eastAsia="黑体" w:cs="黑体"/>
          <w:sz w:val="32"/>
          <w:szCs w:val="32"/>
          <w:highlight w:val="none"/>
          <w:lang w:val="en-US" w:eastAsia="zh-CN"/>
        </w:rPr>
        <w:t>日    期</w:t>
      </w:r>
      <w:r>
        <w:rPr>
          <w:rFonts w:ascii="Times New Roman" w:hAnsi="Times New Roman" w:cs="Times New Roman"/>
          <w:sz w:val="32"/>
          <w:szCs w:val="32"/>
          <w:highlight w:val="none"/>
        </w:rPr>
        <w:t>：</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2024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6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highlight w:val="none"/>
        </w:rPr>
      </w:pPr>
    </w:p>
    <w:p>
      <w:pPr>
        <w:snapToGrid w:val="0"/>
        <w:ind w:firstLine="1920" w:firstLineChars="600"/>
        <w:rPr>
          <w:rFonts w:ascii="Times New Roman" w:hAnsi="Times New Roman" w:cs="Times New Roman"/>
          <w:sz w:val="32"/>
          <w:szCs w:val="32"/>
          <w:highlight w:val="none"/>
        </w:rPr>
      </w:pPr>
    </w:p>
    <w:p>
      <w:pPr>
        <w:ind w:left="1896" w:leftChars="903"/>
        <w:rPr>
          <w:rFonts w:ascii="Times New Roman" w:hAnsi="Times New Roman" w:eastAsia="宋体" w:cs="Times New Roman"/>
          <w:sz w:val="24"/>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TOC \o "1-1" \h \u </w:instrText>
          </w:r>
          <w:r>
            <w:rPr>
              <w:rFonts w:ascii="宋体" w:hAnsi="宋体" w:eastAsia="宋体"/>
              <w:highlight w:val="none"/>
            </w:rPr>
            <w:fldChar w:fldCharType="separate"/>
          </w:r>
          <w:r>
            <w:rPr>
              <w:rFonts w:ascii="宋体" w:hAnsi="宋体" w:eastAsia="宋体"/>
              <w:highlight w:val="none"/>
            </w:rPr>
            <w:fldChar w:fldCharType="begin"/>
          </w:r>
          <w:r>
            <w:rPr>
              <w:rFonts w:ascii="宋体" w:hAnsi="宋体" w:eastAsia="宋体"/>
              <w:highlight w:val="none"/>
            </w:rPr>
            <w:instrText xml:space="preserve"> HYPERLINK \l _Toc23966 </w:instrText>
          </w:r>
          <w:r>
            <w:rPr>
              <w:rFonts w:ascii="宋体" w:hAnsi="宋体" w:eastAsia="宋体"/>
              <w:highlight w:val="none"/>
            </w:rPr>
            <w:fldChar w:fldCharType="separate"/>
          </w:r>
          <w:r>
            <w:rPr>
              <w:rFonts w:hint="eastAsia" w:ascii="Times New Roman" w:hAnsi="Times New Roman" w:eastAsia="宋体" w:cs="Times New Roman"/>
              <w:highlight w:val="none"/>
            </w:rPr>
            <w:t xml:space="preserve">第一章 </w:t>
          </w:r>
          <w:r>
            <w:rPr>
              <w:rFonts w:ascii="Times New Roman" w:hAnsi="Times New Roman" w:eastAsia="宋体" w:cs="Times New Roman"/>
              <w:highlight w:val="none"/>
            </w:rPr>
            <w:t>采购</w:t>
          </w:r>
          <w:r>
            <w:rPr>
              <w:rFonts w:hint="eastAsia" w:ascii="Times New Roman" w:hAnsi="Times New Roman" w:eastAsia="宋体" w:cs="Times New Roman"/>
              <w:highlight w:val="none"/>
              <w:lang w:val="en-US" w:eastAsia="zh-CN"/>
            </w:rPr>
            <w:t>邀请书</w:t>
          </w:r>
          <w:r>
            <w:rPr>
              <w:highlight w:val="none"/>
            </w:rPr>
            <w:tab/>
          </w:r>
          <w:r>
            <w:rPr>
              <w:highlight w:val="none"/>
            </w:rPr>
            <w:fldChar w:fldCharType="begin"/>
          </w:r>
          <w:r>
            <w:rPr>
              <w:highlight w:val="none"/>
            </w:rPr>
            <w:instrText xml:space="preserve"> PAGEREF _Toc23966 \h </w:instrText>
          </w:r>
          <w:r>
            <w:rPr>
              <w:highlight w:val="none"/>
            </w:rPr>
            <w:fldChar w:fldCharType="separate"/>
          </w:r>
          <w:r>
            <w:rPr>
              <w:highlight w:val="none"/>
            </w:rPr>
            <w:t>3</w:t>
          </w:r>
          <w:r>
            <w:rPr>
              <w:highlight w:val="none"/>
            </w:rPr>
            <w:fldChar w:fldCharType="end"/>
          </w:r>
          <w:r>
            <w:rPr>
              <w:rFonts w:ascii="宋体" w:hAnsi="宋体" w:eastAsia="宋体"/>
              <w:highlight w:val="none"/>
            </w:rPr>
            <w:fldChar w:fldCharType="end"/>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 HYPERLINK \l _Toc26240 </w:instrText>
          </w:r>
          <w:r>
            <w:rPr>
              <w:rFonts w:ascii="宋体" w:hAnsi="宋体" w:eastAsia="宋体"/>
              <w:highlight w:val="none"/>
            </w:rPr>
            <w:fldChar w:fldCharType="separate"/>
          </w:r>
          <w:r>
            <w:rPr>
              <w:rFonts w:hint="eastAsia" w:ascii="Times New Roman" w:hAnsi="Times New Roman" w:eastAsia="宋体" w:cs="Times New Roman"/>
              <w:highlight w:val="none"/>
            </w:rPr>
            <w:t xml:space="preserve">第二章 </w:t>
          </w:r>
          <w:r>
            <w:rPr>
              <w:rFonts w:ascii="Times New Roman" w:hAnsi="Times New Roman" w:eastAsia="宋体" w:cs="Times New Roman"/>
              <w:highlight w:val="none"/>
            </w:rPr>
            <w:t>供应商须知</w:t>
          </w:r>
          <w:r>
            <w:rPr>
              <w:highlight w:val="none"/>
            </w:rPr>
            <w:tab/>
          </w:r>
          <w:r>
            <w:rPr>
              <w:highlight w:val="none"/>
            </w:rPr>
            <w:fldChar w:fldCharType="begin"/>
          </w:r>
          <w:r>
            <w:rPr>
              <w:highlight w:val="none"/>
            </w:rPr>
            <w:instrText xml:space="preserve"> PAGEREF _Toc26240 \h </w:instrText>
          </w:r>
          <w:r>
            <w:rPr>
              <w:highlight w:val="none"/>
            </w:rPr>
            <w:fldChar w:fldCharType="separate"/>
          </w:r>
          <w:r>
            <w:rPr>
              <w:highlight w:val="none"/>
            </w:rPr>
            <w:t>6</w:t>
          </w:r>
          <w:r>
            <w:rPr>
              <w:highlight w:val="none"/>
            </w:rPr>
            <w:fldChar w:fldCharType="end"/>
          </w:r>
          <w:r>
            <w:rPr>
              <w:rFonts w:ascii="宋体" w:hAnsi="宋体" w:eastAsia="宋体"/>
              <w:highlight w:val="none"/>
            </w:rPr>
            <w:fldChar w:fldCharType="end"/>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 HYPERLINK \l _Toc2394 </w:instrText>
          </w:r>
          <w:r>
            <w:rPr>
              <w:rFonts w:ascii="宋体" w:hAnsi="宋体" w:eastAsia="宋体"/>
              <w:highlight w:val="none"/>
            </w:rPr>
            <w:fldChar w:fldCharType="separate"/>
          </w:r>
          <w:r>
            <w:rPr>
              <w:rFonts w:hint="eastAsia" w:ascii="Times New Roman" w:hAnsi="Times New Roman" w:eastAsia="宋体" w:cs="Times New Roman"/>
              <w:highlight w:val="none"/>
            </w:rPr>
            <w:t xml:space="preserve">第三章 </w:t>
          </w:r>
          <w:r>
            <w:rPr>
              <w:rFonts w:ascii="Times New Roman" w:hAnsi="Times New Roman" w:eastAsia="宋体" w:cs="Times New Roman"/>
              <w:highlight w:val="none"/>
            </w:rPr>
            <w:t>评审办法</w:t>
          </w:r>
          <w:r>
            <w:rPr>
              <w:highlight w:val="none"/>
            </w:rPr>
            <w:tab/>
          </w:r>
          <w:r>
            <w:rPr>
              <w:highlight w:val="none"/>
            </w:rPr>
            <w:fldChar w:fldCharType="begin"/>
          </w:r>
          <w:r>
            <w:rPr>
              <w:highlight w:val="none"/>
            </w:rPr>
            <w:instrText xml:space="preserve"> PAGEREF _Toc2394 \h </w:instrText>
          </w:r>
          <w:r>
            <w:rPr>
              <w:highlight w:val="none"/>
            </w:rPr>
            <w:fldChar w:fldCharType="separate"/>
          </w:r>
          <w:r>
            <w:rPr>
              <w:highlight w:val="none"/>
            </w:rPr>
            <w:t>15</w:t>
          </w:r>
          <w:r>
            <w:rPr>
              <w:highlight w:val="none"/>
            </w:rPr>
            <w:fldChar w:fldCharType="end"/>
          </w:r>
          <w:r>
            <w:rPr>
              <w:rFonts w:ascii="宋体" w:hAnsi="宋体" w:eastAsia="宋体"/>
              <w:highlight w:val="none"/>
            </w:rPr>
            <w:fldChar w:fldCharType="end"/>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 HYPERLINK \l _Toc25343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rPr>
              <w:highlight w:val="none"/>
            </w:rPr>
            <w:tab/>
          </w:r>
          <w:r>
            <w:rPr>
              <w:highlight w:val="none"/>
            </w:rPr>
            <w:fldChar w:fldCharType="begin"/>
          </w:r>
          <w:r>
            <w:rPr>
              <w:highlight w:val="none"/>
            </w:rPr>
            <w:instrText xml:space="preserve"> PAGEREF _Toc25343 \h </w:instrText>
          </w:r>
          <w:r>
            <w:rPr>
              <w:highlight w:val="none"/>
            </w:rPr>
            <w:fldChar w:fldCharType="separate"/>
          </w:r>
          <w:r>
            <w:rPr>
              <w:highlight w:val="none"/>
            </w:rPr>
            <w:t>21</w:t>
          </w:r>
          <w:r>
            <w:rPr>
              <w:highlight w:val="none"/>
            </w:rPr>
            <w:fldChar w:fldCharType="end"/>
          </w:r>
          <w:r>
            <w:rPr>
              <w:rFonts w:ascii="宋体" w:hAnsi="宋体" w:eastAsia="宋体"/>
              <w:highlight w:val="none"/>
            </w:rPr>
            <w:fldChar w:fldCharType="end"/>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 HYPERLINK \l _Toc24422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第五章 供货要</w:t>
          </w:r>
          <w:r>
            <w:rPr>
              <w:rFonts w:ascii="Times New Roman" w:hAnsi="Times New Roman" w:eastAsia="宋体" w:cs="Times New Roman"/>
              <w:highlight w:val="none"/>
            </w:rPr>
            <w:t>求及清单</w:t>
          </w:r>
          <w:r>
            <w:rPr>
              <w:highlight w:val="none"/>
            </w:rPr>
            <w:tab/>
          </w:r>
          <w:r>
            <w:rPr>
              <w:highlight w:val="none"/>
            </w:rPr>
            <w:fldChar w:fldCharType="begin"/>
          </w:r>
          <w:r>
            <w:rPr>
              <w:highlight w:val="none"/>
            </w:rPr>
            <w:instrText xml:space="preserve"> PAGEREF _Toc24422 \h </w:instrText>
          </w:r>
          <w:r>
            <w:rPr>
              <w:highlight w:val="none"/>
            </w:rPr>
            <w:fldChar w:fldCharType="separate"/>
          </w:r>
          <w:r>
            <w:rPr>
              <w:highlight w:val="none"/>
            </w:rPr>
            <w:t>22</w:t>
          </w:r>
          <w:r>
            <w:rPr>
              <w:highlight w:val="none"/>
            </w:rPr>
            <w:fldChar w:fldCharType="end"/>
          </w:r>
          <w:r>
            <w:rPr>
              <w:rFonts w:ascii="宋体" w:hAnsi="宋体" w:eastAsia="宋体"/>
              <w:highlight w:val="none"/>
            </w:rPr>
            <w:fldChar w:fldCharType="end"/>
          </w:r>
        </w:p>
        <w:p>
          <w:pPr>
            <w:pStyle w:val="14"/>
            <w:tabs>
              <w:tab w:val="right" w:leader="dot" w:pos="8312"/>
            </w:tabs>
            <w:rPr>
              <w:highlight w:val="none"/>
            </w:rPr>
          </w:pPr>
          <w:r>
            <w:rPr>
              <w:rFonts w:ascii="宋体" w:hAnsi="宋体" w:eastAsia="宋体"/>
              <w:highlight w:val="none"/>
            </w:rPr>
            <w:fldChar w:fldCharType="begin"/>
          </w:r>
          <w:r>
            <w:rPr>
              <w:rFonts w:ascii="宋体" w:hAnsi="宋体" w:eastAsia="宋体"/>
              <w:highlight w:val="none"/>
            </w:rPr>
            <w:instrText xml:space="preserve"> HYPERLINK \l _Toc7773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rPr>
              <w:highlight w:val="none"/>
            </w:rPr>
            <w:tab/>
          </w:r>
          <w:r>
            <w:rPr>
              <w:highlight w:val="none"/>
            </w:rPr>
            <w:fldChar w:fldCharType="begin"/>
          </w:r>
          <w:r>
            <w:rPr>
              <w:highlight w:val="none"/>
            </w:rPr>
            <w:instrText xml:space="preserve"> PAGEREF _Toc7773 \h </w:instrText>
          </w:r>
          <w:r>
            <w:rPr>
              <w:highlight w:val="none"/>
            </w:rPr>
            <w:fldChar w:fldCharType="separate"/>
          </w:r>
          <w:r>
            <w:rPr>
              <w:highlight w:val="none"/>
            </w:rPr>
            <w:t>36</w:t>
          </w:r>
          <w:r>
            <w:rPr>
              <w:highlight w:val="none"/>
            </w:rPr>
            <w:fldChar w:fldCharType="end"/>
          </w:r>
          <w:r>
            <w:rPr>
              <w:rFonts w:ascii="宋体" w:hAnsi="宋体" w:eastAsia="宋体"/>
              <w:highlight w:val="none"/>
            </w:rPr>
            <w:fldChar w:fldCharType="end"/>
          </w:r>
        </w:p>
        <w:p>
          <w:pPr>
            <w:jc w:val="center"/>
            <w:rPr>
              <w:rFonts w:ascii="宋体" w:hAnsi="宋体" w:eastAsia="宋体"/>
              <w:highlight w:val="none"/>
            </w:rPr>
          </w:pPr>
          <w:r>
            <w:rPr>
              <w:rFonts w:ascii="宋体" w:hAnsi="宋体" w:eastAsia="宋体"/>
              <w:highlight w:val="none"/>
            </w:rPr>
            <w:fldChar w:fldCharType="end"/>
          </w:r>
        </w:p>
      </w:sdtContent>
    </w:sdt>
    <w:p>
      <w:pPr>
        <w:jc w:val="center"/>
        <w:rPr>
          <w:rFonts w:ascii="宋体" w:hAnsi="宋体" w:eastAsia="宋体"/>
          <w:highlight w:val="none"/>
        </w:rPr>
      </w:pPr>
    </w:p>
    <w:p>
      <w:pPr>
        <w:jc w:val="center"/>
        <w:rPr>
          <w:rFonts w:ascii="宋体" w:hAnsi="宋体" w:eastAsia="宋体"/>
          <w:highlight w:val="none"/>
        </w:rPr>
      </w:pPr>
    </w:p>
    <w:p>
      <w:pPr>
        <w:pStyle w:val="2"/>
        <w:spacing w:before="312" w:after="312"/>
        <w:rPr>
          <w:rFonts w:ascii="Times New Roman" w:hAnsi="Times New Roman" w:eastAsia="宋体" w:cs="Times New Roman"/>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2"/>
        <w:spacing w:before="312" w:after="312"/>
        <w:rPr>
          <w:rFonts w:ascii="Times New Roman" w:hAnsi="Times New Roman" w:eastAsia="宋体" w:cs="Times New Roman"/>
          <w:highlight w:val="none"/>
        </w:rPr>
      </w:pPr>
      <w:bookmarkStart w:id="0" w:name="_Toc23966"/>
      <w:r>
        <w:rPr>
          <w:rFonts w:ascii="Times New Roman" w:hAnsi="Times New Roman" w:eastAsia="宋体" w:cs="Times New Roman"/>
          <w:highlight w:val="none"/>
        </w:rPr>
        <w:t>采购</w:t>
      </w:r>
      <w:bookmarkEnd w:id="0"/>
      <w:r>
        <w:rPr>
          <w:rFonts w:hint="eastAsia" w:ascii="Times New Roman" w:hAnsi="Times New Roman" w:eastAsia="宋体" w:cs="Times New Roman"/>
          <w:highlight w:val="none"/>
          <w:lang w:val="en-US" w:eastAsia="zh-CN"/>
        </w:rPr>
        <w:t>公告</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highlight w:val="none"/>
          <w:lang w:val="en-US" w:eastAsia="zh-CN" w:bidi="ar-SA"/>
        </w:rPr>
      </w:pPr>
      <w:bookmarkStart w:id="1" w:name="_Toc13871"/>
      <w:bookmarkStart w:id="2" w:name="_Toc24354_WPSOffice_Level2"/>
      <w:bookmarkStart w:id="3" w:name="_Toc12765"/>
      <w:bookmarkStart w:id="4" w:name="_Toc525632585"/>
      <w:bookmarkStart w:id="5" w:name="_Toc10395_WPSOffice_Level2"/>
      <w:bookmarkStart w:id="6" w:name="_Toc6496_WPSOffice_Level2"/>
      <w:bookmarkStart w:id="7" w:name="_Toc4489_WPSOffice_Level2"/>
      <w:r>
        <w:rPr>
          <w:rFonts w:ascii="Times New Roman" w:hAnsi="Times New Roman" w:eastAsia="黑体" w:cs="Times New Roman"/>
          <w:b w:val="0"/>
          <w:bCs/>
          <w:kern w:val="2"/>
          <w:sz w:val="22"/>
          <w:szCs w:val="15"/>
          <w:highlight w:val="none"/>
          <w:lang w:val="en-US" w:eastAsia="zh-CN" w:bidi="ar-SA"/>
        </w:rPr>
        <w:t>项目简介</w:t>
      </w:r>
      <w:bookmarkEnd w:id="1"/>
      <w:bookmarkEnd w:id="2"/>
      <w:bookmarkEnd w:id="3"/>
      <w:bookmarkEnd w:id="4"/>
      <w:bookmarkEnd w:id="5"/>
      <w:bookmarkEnd w:id="6"/>
      <w:bookmarkEnd w:id="7"/>
    </w:p>
    <w:p>
      <w:pPr>
        <w:widowControl/>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1.1项目名称：</w:t>
      </w:r>
      <w:r>
        <w:rPr>
          <w:rFonts w:hint="eastAsia" w:ascii="宋体" w:hAnsi="宋体" w:eastAsia="宋体" w:cs="宋体"/>
          <w:sz w:val="21"/>
          <w:szCs w:val="21"/>
          <w:highlight w:val="none"/>
          <w:u w:val="single"/>
          <w:lang w:val="en-US" w:eastAsia="zh-CN"/>
        </w:rPr>
        <w:t>FXHY小区7号8号楼装饰改造工程窗帘采购及安装项目</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1.2 采 购 人：</w:t>
      </w:r>
      <w:r>
        <w:rPr>
          <w:rFonts w:hint="eastAsia" w:ascii="Times New Roman" w:hAnsi="Times New Roman" w:cs="Times New Roman"/>
          <w:color w:val="auto"/>
          <w:szCs w:val="22"/>
          <w:highlight w:val="none"/>
          <w:u w:val="single"/>
          <w:lang w:val="en-US" w:eastAsia="zh-CN"/>
        </w:rPr>
        <w:t>本项目采购主体为安徽交控建设工程集团有限公司，合同主体为：</w:t>
      </w:r>
      <w:r>
        <w:rPr>
          <w:rFonts w:hint="eastAsia" w:ascii="Times New Roman" w:hAnsi="Times New Roman" w:cs="Times New Roman"/>
          <w:color w:val="auto"/>
          <w:szCs w:val="22"/>
          <w:highlight w:val="none"/>
          <w:u w:val="single"/>
          <w:lang w:eastAsia="zh-CN"/>
        </w:rPr>
        <w:t>安徽省经工物资有限公司。</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项目概况：</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FXHY小区7号8号楼装饰改造工程窗帘采购及安装项目</w:t>
      </w:r>
      <w:r>
        <w:rPr>
          <w:rFonts w:hint="eastAsia" w:ascii="宋体" w:hAnsi="宋体" w:eastAsia="宋体" w:cs="宋体"/>
          <w:kern w:val="0"/>
          <w:sz w:val="21"/>
          <w:szCs w:val="21"/>
          <w:highlight w:val="none"/>
          <w:u w:val="none"/>
          <w:lang w:eastAsia="zh-CN"/>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highlight w:val="none"/>
          <w:lang w:val="en-US" w:eastAsia="zh-CN" w:bidi="ar-SA"/>
        </w:rPr>
      </w:pPr>
      <w:bookmarkStart w:id="8" w:name="_Toc18453"/>
      <w:bookmarkStart w:id="9" w:name="_Toc17858_WPSOffice_Level2"/>
      <w:bookmarkStart w:id="10" w:name="_Toc525632586"/>
      <w:bookmarkStart w:id="11" w:name="_Toc10274"/>
      <w:bookmarkStart w:id="12" w:name="_Toc8128_WPSOffice_Level2"/>
      <w:bookmarkStart w:id="13" w:name="_Toc23266_WPSOffice_Level2"/>
      <w:bookmarkStart w:id="14" w:name="_Toc18367_WPSOffice_Level2"/>
      <w:r>
        <w:rPr>
          <w:rFonts w:ascii="Times New Roman" w:hAnsi="Times New Roman" w:eastAsia="黑体" w:cs="Times New Roman"/>
          <w:b w:val="0"/>
          <w:bCs/>
          <w:kern w:val="2"/>
          <w:sz w:val="22"/>
          <w:szCs w:val="15"/>
          <w:highlight w:val="none"/>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none"/>
          <w:u w:val="single"/>
          <w:lang w:val="en-US" w:eastAsia="zh-CN"/>
        </w:rPr>
      </w:pPr>
      <w:bookmarkStart w:id="15" w:name="_Toc4489_WPSOffice_Level3"/>
      <w:r>
        <w:rPr>
          <w:rFonts w:hint="eastAsia" w:ascii="宋体" w:hAnsi="宋体" w:eastAsia="宋体" w:cs="宋体"/>
          <w:szCs w:val="21"/>
          <w:highlight w:val="none"/>
        </w:rPr>
        <w:t>2.1 采购方式：</w:t>
      </w:r>
      <w:bookmarkEnd w:id="15"/>
      <w:r>
        <w:rPr>
          <w:rFonts w:hint="eastAsia" w:ascii="宋体" w:hAnsi="宋体" w:eastAsia="宋体" w:cs="宋体"/>
          <w:szCs w:val="21"/>
          <w:highlight w:val="none"/>
          <w:u w:val="single"/>
          <w:lang w:val="en-US" w:eastAsia="zh-CN"/>
        </w:rPr>
        <w:t xml:space="preserve">  询比采购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rPr>
      </w:pPr>
      <w:bookmarkStart w:id="16" w:name="_Toc23266_WPSOffice_Level3"/>
      <w:r>
        <w:rPr>
          <w:rFonts w:hint="eastAsia" w:ascii="宋体" w:hAnsi="宋体" w:eastAsia="宋体" w:cs="宋体"/>
          <w:szCs w:val="21"/>
          <w:highlight w:val="none"/>
        </w:rPr>
        <w:t>2.2 资金来源及比例：</w:t>
      </w:r>
      <w:bookmarkEnd w:id="16"/>
      <w:bookmarkStart w:id="17" w:name="_Toc22379_WPSOffice_Level3"/>
      <w:r>
        <w:rPr>
          <w:rFonts w:hint="eastAsia" w:ascii="宋体" w:hAnsi="宋体" w:eastAsia="宋体" w:cs="宋体"/>
          <w:szCs w:val="21"/>
          <w:highlight w:val="none"/>
          <w:u w:val="single"/>
        </w:rPr>
        <w:t>100%来自企业自筹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 采购范围：</w:t>
      </w:r>
      <w:r>
        <w:rPr>
          <w:rFonts w:hint="eastAsia" w:ascii="宋体" w:hAnsi="宋体" w:eastAsia="宋体" w:cs="宋体"/>
          <w:szCs w:val="21"/>
          <w:highlight w:val="none"/>
          <w:u w:val="single"/>
          <w:lang w:val="en-US" w:eastAsia="zh-CN"/>
        </w:rPr>
        <w:t xml:space="preserve">  窗帘。</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2.4 品牌范围：</w:t>
      </w:r>
      <w:r>
        <w:rPr>
          <w:rFonts w:hint="eastAsia" w:ascii="宋体" w:hAnsi="宋体" w:eastAsia="宋体" w:cs="宋体"/>
          <w:szCs w:val="21"/>
          <w:highlight w:val="none"/>
          <w:u w:val="single"/>
          <w:lang w:val="en-US" w:eastAsia="zh-CN"/>
        </w:rPr>
        <w:t xml:space="preserve">    无。产品参数详见工程量清单。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7"/>
      <w:r>
        <w:rPr>
          <w:rFonts w:hint="eastAsia" w:ascii="宋体" w:hAnsi="宋体" w:eastAsia="宋体" w:cs="宋体"/>
          <w:b/>
          <w:bCs/>
          <w:szCs w:val="21"/>
          <w:highlight w:val="none"/>
          <w:u w:val="single"/>
          <w:lang w:val="en-US" w:eastAsia="zh-CN"/>
        </w:rPr>
        <w:t xml:space="preserve"> 54.3</w:t>
      </w:r>
      <w:r>
        <w:rPr>
          <w:rFonts w:hint="eastAsia" w:ascii="宋体" w:hAnsi="宋体" w:eastAsia="宋体" w:cs="宋体"/>
          <w:b/>
          <w:bCs/>
          <w:color w:val="auto"/>
          <w:szCs w:val="21"/>
          <w:highlight w:val="none"/>
          <w:u w:val="single"/>
          <w:lang w:val="en-US" w:eastAsia="zh-CN"/>
        </w:rPr>
        <w:t>万元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交货期</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 w:val="21"/>
          <w:szCs w:val="21"/>
          <w:highlight w:val="none"/>
          <w:u w:val="single"/>
          <w:lang w:val="en-US" w:eastAsia="zh-CN"/>
        </w:rPr>
        <w:t>在</w:t>
      </w:r>
      <w:r>
        <w:rPr>
          <w:rFonts w:hint="eastAsia" w:ascii="宋体" w:hAnsi="宋体" w:eastAsia="宋体" w:cs="宋体"/>
          <w:kern w:val="0"/>
          <w:sz w:val="21"/>
          <w:szCs w:val="21"/>
          <w:highlight w:val="none"/>
          <w:u w:val="single"/>
        </w:rPr>
        <w:t>接到甲方通知之日起</w:t>
      </w:r>
      <w:r>
        <w:rPr>
          <w:rFonts w:hint="eastAsia" w:ascii="宋体" w:hAnsi="宋体" w:eastAsia="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个日历天内交货</w:t>
      </w:r>
      <w:r>
        <w:rPr>
          <w:rFonts w:hint="eastAsia" w:ascii="宋体" w:hAnsi="宋体" w:eastAsia="宋体" w:cs="宋体"/>
          <w:kern w:val="0"/>
          <w:sz w:val="21"/>
          <w:szCs w:val="21"/>
          <w:highlight w:val="none"/>
          <w:u w:val="single"/>
          <w:lang w:val="en-US" w:eastAsia="zh-CN"/>
        </w:rPr>
        <w:t>并安装完成</w:t>
      </w:r>
      <w:r>
        <w:rPr>
          <w:rFonts w:hint="eastAsia" w:ascii="宋体" w:hAnsi="宋体" w:eastAsia="宋体" w:cs="宋体"/>
          <w:kern w:val="0"/>
          <w:sz w:val="21"/>
          <w:szCs w:val="21"/>
          <w:highlight w:val="none"/>
          <w:u w:val="singl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highlight w:val="none"/>
          <w:lang w:val="en-US" w:eastAsia="zh-CN" w:bidi="ar-SA"/>
        </w:rPr>
      </w:pPr>
      <w:bookmarkStart w:id="18" w:name="_Toc31673_WPSOffice_Level2"/>
      <w:bookmarkStart w:id="19" w:name="_Toc3714"/>
      <w:bookmarkStart w:id="20" w:name="_Toc6388"/>
      <w:bookmarkStart w:id="21" w:name="_Toc525632587"/>
      <w:bookmarkStart w:id="22" w:name="_Toc22379_WPSOffice_Level2"/>
      <w:bookmarkStart w:id="23" w:name="_Toc29516_WPSOffice_Level2"/>
      <w:bookmarkStart w:id="24" w:name="_Toc1622_WPSOffice_Level2"/>
      <w:r>
        <w:rPr>
          <w:rFonts w:ascii="Times New Roman" w:hAnsi="Times New Roman" w:eastAsia="黑体" w:cs="Times New Roman"/>
          <w:b w:val="0"/>
          <w:bCs/>
          <w:kern w:val="2"/>
          <w:sz w:val="22"/>
          <w:szCs w:val="15"/>
          <w:highlight w:val="none"/>
          <w:lang w:val="en-US" w:eastAsia="zh-CN" w:bidi="ar-SA"/>
        </w:rPr>
        <w:t>供应商资格条件</w:t>
      </w:r>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highlight w:val="none"/>
        </w:rPr>
      </w:pPr>
      <w:r>
        <w:rPr>
          <w:rFonts w:hint="eastAsia" w:ascii="Times New Roman" w:hAnsi="Times New Roman" w:eastAsia="宋体" w:cs="Times New Roman"/>
          <w:szCs w:val="22"/>
          <w:highlight w:val="none"/>
          <w:lang w:val="en-US" w:eastAsia="zh-CN"/>
        </w:rPr>
        <w:t>（1）</w:t>
      </w:r>
      <w:r>
        <w:rPr>
          <w:rFonts w:hint="eastAsia" w:ascii="宋体" w:hAnsi="宋体" w:eastAsia="宋体" w:cs="宋体"/>
          <w:szCs w:val="22"/>
          <w:highlight w:val="none"/>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highlight w:val="none"/>
          <w:lang w:eastAsia="zh-CN"/>
        </w:rPr>
      </w:pPr>
      <w:r>
        <w:rPr>
          <w:rFonts w:hint="eastAsia" w:ascii="宋体" w:hAnsi="宋体" w:eastAsia="宋体" w:cs="宋体"/>
          <w:szCs w:val="22"/>
          <w:highlight w:val="none"/>
        </w:rPr>
        <w:t>具备独立法人资格，持有有效的营业执照</w:t>
      </w:r>
      <w:r>
        <w:rPr>
          <w:rFonts w:hint="eastAsia" w:ascii="宋体" w:hAnsi="宋体" w:eastAsia="宋体" w:cs="宋体"/>
          <w:szCs w:val="22"/>
          <w:highlight w:val="none"/>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Times New Roman" w:hAnsi="Times New Roman" w:eastAsia="宋体" w:cs="Times New Roman"/>
          <w:szCs w:val="22"/>
          <w:highlight w:val="none"/>
          <w:u w:val="single"/>
          <w:lang w:val="en-US" w:eastAsia="zh-CN"/>
        </w:rPr>
      </w:pP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业绩最低要求：</w:t>
      </w:r>
      <w:r>
        <w:rPr>
          <w:rFonts w:hint="eastAsia" w:ascii="Times New Roman" w:hAnsi="Times New Roman" w:eastAsia="宋体" w:cs="Times New Roman"/>
          <w:szCs w:val="22"/>
          <w:highlight w:val="none"/>
          <w:u w:val="single"/>
          <w:lang w:val="en-US" w:eastAsia="zh-CN"/>
        </w:rPr>
        <w:t xml:space="preserve"> 无   </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highlight w:val="none"/>
          <w:lang w:val="en-US" w:eastAsia="zh-CN"/>
        </w:rPr>
      </w:pPr>
      <w:r>
        <w:rPr>
          <w:rFonts w:hint="eastAsia" w:asciiTheme="minorHAnsi" w:eastAsiaTheme="minorEastAsia"/>
          <w:highlight w:val="none"/>
          <w:lang w:val="en-US" w:eastAsia="zh-CN"/>
        </w:rPr>
        <w:t>业绩证明材料要求：</w:t>
      </w:r>
    </w:p>
    <w:p>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①合同协议书</w:t>
      </w:r>
      <w:r>
        <w:rPr>
          <w:rFonts w:hint="eastAsia" w:cstheme="minorBidi"/>
          <w:kern w:val="2"/>
          <w:sz w:val="21"/>
          <w:szCs w:val="24"/>
          <w:highlight w:val="none"/>
          <w:lang w:val="en-US" w:eastAsia="zh-CN" w:bidi="ar-SA"/>
        </w:rPr>
        <w:t>复印</w:t>
      </w:r>
      <w:r>
        <w:rPr>
          <w:rFonts w:hint="eastAsia" w:asciiTheme="minorHAnsi" w:hAnsiTheme="minorHAnsi" w:eastAsiaTheme="minorEastAsia" w:cstheme="minorBidi"/>
          <w:kern w:val="2"/>
          <w:sz w:val="21"/>
          <w:szCs w:val="24"/>
          <w:highlight w:val="none"/>
          <w:lang w:val="en-US" w:eastAsia="zh-CN" w:bidi="ar-SA"/>
        </w:rPr>
        <w:t xml:space="preserve">件；                                                                                                                                                                                                                                                                                                                                                                                                                                                                                                                                                                                                                                                                                                                                                                                                                                                                                                                                                                                                                                                                                                                                                                                                                                                                                                                                                                                                                                                                                                                                                                                                                                                                                                                                                                                                                                                                                                                                                                                                                                                                                                                                                                          </w:t>
      </w:r>
    </w:p>
    <w:p>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②若合同协议书中不能明确反映出</w:t>
      </w:r>
      <w:r>
        <w:rPr>
          <w:rFonts w:hint="eastAsia" w:cstheme="minorBidi"/>
          <w:kern w:val="2"/>
          <w:sz w:val="21"/>
          <w:szCs w:val="24"/>
          <w:highlight w:val="none"/>
          <w:lang w:val="en-US" w:eastAsia="zh-CN" w:bidi="ar-SA"/>
        </w:rPr>
        <w:t>采购文件</w:t>
      </w:r>
      <w:r>
        <w:rPr>
          <w:rFonts w:hint="eastAsia" w:asciiTheme="minorHAnsi" w:hAnsiTheme="minorHAnsi" w:eastAsiaTheme="minorEastAsia" w:cstheme="minorBidi"/>
          <w:kern w:val="2"/>
          <w:sz w:val="21"/>
          <w:szCs w:val="24"/>
          <w:highlight w:val="none"/>
          <w:lang w:val="en-US" w:eastAsia="zh-CN" w:bidi="ar-SA"/>
        </w:rPr>
        <w:t>所要求内容的（如合同金额、合同签订时</w:t>
      </w:r>
      <w:bookmarkStart w:id="155" w:name="_GoBack"/>
      <w:bookmarkEnd w:id="155"/>
      <w:r>
        <w:rPr>
          <w:rFonts w:hint="eastAsia" w:asciiTheme="minorHAnsi" w:hAnsiTheme="minorHAnsi" w:eastAsiaTheme="minorEastAsia" w:cstheme="minorBidi"/>
          <w:kern w:val="2"/>
          <w:sz w:val="21"/>
          <w:szCs w:val="24"/>
          <w:highlight w:val="none"/>
          <w:lang w:val="en-US" w:eastAsia="zh-CN" w:bidi="ar-SA"/>
        </w:rPr>
        <w:t>间、供货内容等），则须提供业主单位（甲方）出具加盖公章的证明材料</w:t>
      </w:r>
      <w:r>
        <w:rPr>
          <w:rFonts w:hint="eastAsia" w:cstheme="minorBidi"/>
          <w:kern w:val="2"/>
          <w:sz w:val="21"/>
          <w:szCs w:val="24"/>
          <w:highlight w:val="none"/>
          <w:lang w:val="en-US" w:eastAsia="zh-CN" w:bidi="ar-SA"/>
        </w:rPr>
        <w:t>复印</w:t>
      </w:r>
      <w:r>
        <w:rPr>
          <w:rFonts w:hint="eastAsia" w:asciiTheme="minorHAnsi" w:hAnsiTheme="minorHAnsi" w:eastAsiaTheme="minorEastAsia" w:cstheme="minorBidi"/>
          <w:kern w:val="2"/>
          <w:sz w:val="21"/>
          <w:szCs w:val="24"/>
          <w:highlight w:val="none"/>
          <w:lang w:val="en-US" w:eastAsia="zh-CN" w:bidi="ar-SA"/>
        </w:rPr>
        <w:t>件。</w:t>
      </w:r>
    </w:p>
    <w:p>
      <w:pPr>
        <w:pStyle w:val="19"/>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③若同一业绩合同中包含多项</w:t>
      </w:r>
      <w:r>
        <w:rPr>
          <w:rFonts w:hint="eastAsia" w:asciiTheme="minorHAnsi" w:hAnsiTheme="minorHAnsi" w:cstheme="minorBidi"/>
          <w:kern w:val="2"/>
          <w:sz w:val="21"/>
          <w:szCs w:val="24"/>
          <w:highlight w:val="none"/>
          <w:lang w:val="en-US" w:eastAsia="zh-CN" w:bidi="ar-SA"/>
        </w:rPr>
        <w:t>材料（</w:t>
      </w:r>
      <w:r>
        <w:rPr>
          <w:rFonts w:hint="eastAsia" w:asciiTheme="minorHAnsi" w:hAnsiTheme="minorHAnsi" w:eastAsiaTheme="minorEastAsia" w:cstheme="minorBidi"/>
          <w:kern w:val="2"/>
          <w:sz w:val="21"/>
          <w:szCs w:val="24"/>
          <w:highlight w:val="none"/>
          <w:lang w:val="en-US" w:eastAsia="zh-CN" w:bidi="ar-SA"/>
        </w:rPr>
        <w:t>设备</w:t>
      </w:r>
      <w:r>
        <w:rPr>
          <w:rFonts w:hint="eastAsia" w:asciiTheme="minorHAnsi" w:hAnsiTheme="minorHAnsi"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，则合同中应能体现资格要求中所需</w:t>
      </w:r>
      <w:r>
        <w:rPr>
          <w:rFonts w:hint="eastAsia" w:asciiTheme="minorHAnsi" w:hAnsiTheme="minorHAnsi" w:cstheme="minorBidi"/>
          <w:kern w:val="2"/>
          <w:sz w:val="21"/>
          <w:szCs w:val="24"/>
          <w:highlight w:val="none"/>
          <w:lang w:val="en-US" w:eastAsia="zh-CN" w:bidi="ar-SA"/>
        </w:rPr>
        <w:t>材料（</w:t>
      </w:r>
      <w:r>
        <w:rPr>
          <w:rFonts w:hint="eastAsia" w:asciiTheme="minorHAnsi" w:hAnsiTheme="minorHAnsi" w:eastAsiaTheme="minorEastAsia" w:cstheme="minorBidi"/>
          <w:kern w:val="2"/>
          <w:sz w:val="21"/>
          <w:szCs w:val="24"/>
          <w:highlight w:val="none"/>
          <w:lang w:val="en-US" w:eastAsia="zh-CN" w:bidi="ar-SA"/>
        </w:rPr>
        <w:t>设备</w:t>
      </w:r>
      <w:r>
        <w:rPr>
          <w:rFonts w:hint="eastAsia" w:asciiTheme="minorHAnsi" w:hAnsiTheme="minorHAnsi"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highlight w:val="none"/>
          <w:lang w:val="en-US" w:eastAsia="zh-CN" w:bidi="ar-SA"/>
        </w:rPr>
        <w:t>予</w:t>
      </w:r>
      <w:r>
        <w:rPr>
          <w:rFonts w:hint="eastAsia" w:asciiTheme="minorHAnsi" w:hAnsiTheme="minorHAnsi" w:eastAsiaTheme="minorEastAsia" w:cstheme="minorBidi"/>
          <w:kern w:val="2"/>
          <w:sz w:val="21"/>
          <w:szCs w:val="24"/>
          <w:highlight w:val="none"/>
          <w:lang w:val="en-US" w:eastAsia="zh-CN" w:bidi="ar-SA"/>
        </w:rPr>
        <w:t>认可</w:t>
      </w:r>
      <w:r>
        <w:rPr>
          <w:rFonts w:hint="eastAsia" w:asciiTheme="minorHAnsi" w:hAnsiTheme="minorHAnsi" w:cstheme="minorBidi"/>
          <w:kern w:val="2"/>
          <w:sz w:val="21"/>
          <w:szCs w:val="24"/>
          <w:highlight w:val="none"/>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highlight w:val="none"/>
          <w:lang w:eastAsia="zh-CN"/>
        </w:rPr>
      </w:pPr>
      <w:r>
        <w:rPr>
          <w:rFonts w:hint="eastAsia" w:ascii="宋体" w:hAnsi="宋体" w:eastAsia="宋体" w:cs="宋体"/>
          <w:szCs w:val="22"/>
          <w:highlight w:val="none"/>
        </w:rPr>
        <w:t>（</w:t>
      </w:r>
      <w:r>
        <w:rPr>
          <w:rFonts w:hint="eastAsia" w:ascii="宋体" w:hAnsi="宋体" w:eastAsia="宋体" w:cs="宋体"/>
          <w:szCs w:val="22"/>
          <w:highlight w:val="none"/>
          <w:lang w:val="en-US" w:eastAsia="zh-CN"/>
        </w:rPr>
        <w:t>3</w:t>
      </w:r>
      <w:r>
        <w:rPr>
          <w:rFonts w:hint="eastAsia" w:ascii="宋体" w:hAnsi="宋体" w:eastAsia="宋体" w:cs="宋体"/>
          <w:szCs w:val="22"/>
          <w:highlight w:val="none"/>
        </w:rPr>
        <w:t>）</w:t>
      </w:r>
      <w:r>
        <w:rPr>
          <w:rFonts w:ascii="Times New Roman" w:hAnsi="Times New Roman" w:eastAsia="宋体" w:cs="Times New Roman"/>
          <w:szCs w:val="22"/>
          <w:highlight w:val="none"/>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highlight w:val="none"/>
        </w:rPr>
      </w:pPr>
      <w:r>
        <w:rPr>
          <w:rFonts w:ascii="Times New Roman" w:hAnsi="Times New Roman" w:eastAsia="宋体" w:cs="Times New Roman"/>
          <w:szCs w:val="22"/>
          <w:highlight w:val="none"/>
        </w:rPr>
        <w:t>①</w:t>
      </w:r>
      <w:r>
        <w:rPr>
          <w:rFonts w:hint="eastAsia" w:ascii="Times New Roman" w:hAnsi="Times New Roman" w:eastAsia="宋体" w:cs="Times New Roman"/>
          <w:szCs w:val="22"/>
          <w:highlight w:val="none"/>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highlight w:val="none"/>
        </w:rPr>
      </w:pPr>
      <w:r>
        <w:rPr>
          <w:rFonts w:hint="eastAsia" w:ascii="Times New Roman" w:hAnsi="Times New Roman" w:eastAsia="宋体" w:cs="Times New Roman"/>
          <w:szCs w:val="22"/>
          <w:highlight w:val="none"/>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③</w:t>
      </w:r>
      <w:r>
        <w:rPr>
          <w:rFonts w:ascii="Times New Roman" w:hAnsi="Times New Roman" w:eastAsia="宋体" w:cs="Times New Roman"/>
          <w:szCs w:val="22"/>
          <w:highlight w:val="none"/>
        </w:rPr>
        <w:t>在国家企业信用信息公示系统（http://www.gsxt.gov.cn）中</w:t>
      </w:r>
      <w:r>
        <w:rPr>
          <w:rFonts w:hint="eastAsia" w:ascii="Times New Roman" w:hAnsi="Times New Roman" w:eastAsia="宋体" w:cs="Times New Roman"/>
          <w:szCs w:val="22"/>
          <w:highlight w:val="none"/>
        </w:rPr>
        <w:t>未</w:t>
      </w:r>
      <w:r>
        <w:rPr>
          <w:rFonts w:ascii="Times New Roman" w:hAnsi="Times New Roman" w:eastAsia="宋体" w:cs="Times New Roman"/>
          <w:szCs w:val="22"/>
          <w:highlight w:val="none"/>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④</w:t>
      </w:r>
      <w:r>
        <w:rPr>
          <w:rFonts w:ascii="Times New Roman" w:hAnsi="Times New Roman" w:eastAsia="宋体" w:cs="Times New Roman"/>
          <w:szCs w:val="22"/>
          <w:highlight w:val="none"/>
        </w:rPr>
        <w:t>在“信用中国”网站（http://www.creditchina.gov.cn）中</w:t>
      </w:r>
      <w:r>
        <w:rPr>
          <w:rFonts w:hint="eastAsia" w:ascii="Times New Roman" w:hAnsi="Times New Roman" w:eastAsia="宋体" w:cs="Times New Roman"/>
          <w:szCs w:val="22"/>
          <w:highlight w:val="none"/>
        </w:rPr>
        <w:t>未</w:t>
      </w:r>
      <w:r>
        <w:rPr>
          <w:rFonts w:ascii="Times New Roman" w:hAnsi="Times New Roman" w:eastAsia="宋体" w:cs="Times New Roman"/>
          <w:szCs w:val="22"/>
          <w:highlight w:val="none"/>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⑤</w:t>
      </w:r>
      <w:r>
        <w:rPr>
          <w:rFonts w:ascii="Times New Roman" w:hAnsi="Times New Roman" w:eastAsia="宋体" w:cs="Times New Roman"/>
          <w:szCs w:val="22"/>
          <w:highlight w:val="none"/>
        </w:rPr>
        <w:t>在近三年内（自</w:t>
      </w:r>
      <w:r>
        <w:rPr>
          <w:rFonts w:hint="eastAsia" w:ascii="Times New Roman" w:hAnsi="Times New Roman" w:eastAsia="宋体" w:cs="Times New Roman"/>
          <w:szCs w:val="22"/>
          <w:highlight w:val="none"/>
        </w:rPr>
        <w:t>响应文件递交截止之日</w:t>
      </w:r>
      <w:r>
        <w:rPr>
          <w:rFonts w:ascii="Times New Roman" w:hAnsi="Times New Roman" w:eastAsia="宋体" w:cs="Times New Roman"/>
          <w:szCs w:val="22"/>
          <w:highlight w:val="none"/>
        </w:rPr>
        <w:t>向前追溯3年）供应商或其法定代表人、拟委任的项目经理</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如有</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未</w:t>
      </w:r>
      <w:r>
        <w:rPr>
          <w:rFonts w:ascii="Times New Roman" w:hAnsi="Times New Roman" w:eastAsia="宋体" w:cs="Times New Roman"/>
          <w:szCs w:val="22"/>
          <w:highlight w:val="none"/>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eastAsia="宋体"/>
          <w:highlight w:val="none"/>
          <w:lang w:val="en-US" w:eastAsia="zh-CN"/>
        </w:rPr>
      </w:pPr>
      <w:r>
        <w:rPr>
          <w:rFonts w:hint="eastAsia" w:ascii="Times New Roman" w:hAnsi="Times New Roman" w:eastAsia="宋体" w:cs="Times New Roman"/>
          <w:highlight w:val="none"/>
        </w:rPr>
        <w:t>⑥其他要求：</w:t>
      </w:r>
      <w:r>
        <w:rPr>
          <w:rFonts w:hint="eastAsia" w:ascii="Times New Roman" w:hAnsi="Times New Roman" w:eastAsia="宋体" w:cs="Times New Roman"/>
          <w:highlight w:val="none"/>
          <w:u w:val="single"/>
          <w:lang w:val="en-US" w:eastAsia="zh-CN"/>
        </w:rPr>
        <w:t xml:space="preserve">        /        </w:t>
      </w:r>
      <w:r>
        <w:rPr>
          <w:rFonts w:hint="eastAsia" w:ascii="Times New Roman" w:hAnsi="Times New Roman" w:eastAsia="宋体" w:cs="Times New Roman"/>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highlight w:val="none"/>
        </w:rPr>
      </w:pPr>
      <w:r>
        <w:rPr>
          <w:rFonts w:ascii="Times New Roman" w:hAnsi="Times New Roman" w:eastAsia="宋体" w:cs="Times New Roman"/>
          <w:szCs w:val="22"/>
          <w:highlight w:val="none"/>
        </w:rPr>
        <w:t>3.2 联合体：本次采购</w:t>
      </w:r>
      <w:r>
        <w:rPr>
          <w:rFonts w:hint="eastAsia" w:ascii="Times New Roman" w:hAnsi="Times New Roman" w:eastAsia="宋体" w:cs="Times New Roman"/>
          <w:szCs w:val="22"/>
          <w:highlight w:val="none"/>
        </w:rPr>
        <w:t>不接受</w:t>
      </w:r>
      <w:r>
        <w:rPr>
          <w:rFonts w:ascii="Times New Roman" w:hAnsi="Times New Roman" w:eastAsia="宋体" w:cs="Times New Roman"/>
          <w:szCs w:val="22"/>
          <w:highlight w:val="none"/>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highlight w:val="none"/>
        </w:rPr>
      </w:pPr>
      <w:r>
        <w:rPr>
          <w:rFonts w:ascii="Times New Roman" w:hAnsi="Times New Roman" w:eastAsia="宋体" w:cs="Times New Roman"/>
          <w:szCs w:val="22"/>
          <w:highlight w:val="none"/>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highlight w:val="none"/>
          <w:lang w:val="en-US" w:eastAsia="zh-CN" w:bidi="ar-SA"/>
        </w:rPr>
      </w:pPr>
      <w:bookmarkStart w:id="25" w:name="_Toc2996_WPSOffice_Level2"/>
      <w:bookmarkStart w:id="26" w:name="_Toc25666_WPSOffice_Level2"/>
      <w:bookmarkStart w:id="27" w:name="_Toc29452_WPSOffice_Level2"/>
      <w:bookmarkStart w:id="28" w:name="_Toc525632588"/>
      <w:bookmarkStart w:id="29" w:name="_Toc4751"/>
      <w:bookmarkStart w:id="30" w:name="_Toc1994"/>
      <w:bookmarkStart w:id="31" w:name="_Toc4109_WPSOffice_Level2"/>
      <w:r>
        <w:rPr>
          <w:rFonts w:hint="eastAsia" w:ascii="Times New Roman" w:hAnsi="Times New Roman" w:eastAsia="黑体" w:cs="Times New Roman"/>
          <w:b w:val="0"/>
          <w:bCs/>
          <w:kern w:val="2"/>
          <w:sz w:val="22"/>
          <w:szCs w:val="15"/>
          <w:highlight w:val="none"/>
          <w:lang w:val="en-US" w:eastAsia="zh-CN" w:bidi="ar-SA"/>
        </w:rPr>
        <w:t>询比文件</w:t>
      </w:r>
      <w:r>
        <w:rPr>
          <w:rFonts w:ascii="Times New Roman" w:hAnsi="Times New Roman" w:eastAsia="黑体" w:cs="Times New Roman"/>
          <w:b w:val="0"/>
          <w:bCs/>
          <w:kern w:val="2"/>
          <w:sz w:val="22"/>
          <w:szCs w:val="15"/>
          <w:highlight w:val="none"/>
          <w:lang w:val="en-US" w:eastAsia="zh-CN" w:bidi="ar-SA"/>
        </w:rPr>
        <w:t>的获取</w:t>
      </w:r>
      <w:bookmarkEnd w:id="25"/>
      <w:bookmarkEnd w:id="26"/>
      <w:bookmarkEnd w:id="27"/>
      <w:bookmarkEnd w:id="28"/>
      <w:bookmarkEnd w:id="29"/>
      <w:bookmarkEnd w:id="30"/>
      <w:bookmarkEnd w:id="31"/>
    </w:p>
    <w:p>
      <w:pPr>
        <w:snapToGrid w:val="0"/>
        <w:spacing w:line="440" w:lineRule="exact"/>
        <w:ind w:firstLine="367" w:firstLineChars="175"/>
        <w:rPr>
          <w:rFonts w:ascii="Times New Roman" w:hAnsi="Times New Roman" w:cs="Times New Roman"/>
          <w:color w:val="000000" w:themeColor="text1"/>
          <w:szCs w:val="22"/>
          <w:highlight w:val="none"/>
          <w14:textFill>
            <w14:solidFill>
              <w14:schemeClr w14:val="tx1"/>
            </w14:solidFill>
          </w14:textFill>
        </w:rPr>
      </w:pPr>
      <w:bookmarkStart w:id="32" w:name="_Toc525632589"/>
      <w:bookmarkStart w:id="33" w:name="_Toc726"/>
      <w:r>
        <w:rPr>
          <w:rFonts w:hint="eastAsia" w:ascii="Times New Roman" w:hAnsi="Times New Roman" w:cs="Times New Roman"/>
          <w:color w:val="000000" w:themeColor="text1"/>
          <w:szCs w:val="22"/>
          <w:highlight w:val="none"/>
          <w14:textFill>
            <w14:solidFill>
              <w14:schemeClr w14:val="tx1"/>
            </w14:solidFill>
          </w14:textFill>
        </w:rPr>
        <w:t>供应商应在递交响应文件的截止时间前查询公告，自行下载询比文件及相关资料（含澄清、补遗及相关补充文件）。未按规定下载询比文件的，后续将不予接受其响应文件。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highlight w:val="none"/>
          <w:lang w:val="en-US" w:eastAsia="zh-CN" w:bidi="ar-SA"/>
        </w:rPr>
      </w:pPr>
      <w:r>
        <w:rPr>
          <w:rFonts w:hint="eastAsia" w:ascii="Times New Roman" w:hAnsi="Times New Roman" w:eastAsia="黑体" w:cs="Times New Roman"/>
          <w:b w:val="0"/>
          <w:bCs/>
          <w:kern w:val="2"/>
          <w:sz w:val="22"/>
          <w:szCs w:val="15"/>
          <w:highlight w:val="none"/>
          <w:lang w:val="en-US" w:eastAsia="zh-CN" w:bidi="ar-SA"/>
        </w:rPr>
        <w:t>响应文件的递交</w:t>
      </w:r>
      <w:bookmarkEnd w:id="32"/>
      <w:bookmarkEnd w:id="33"/>
    </w:p>
    <w:p>
      <w:pPr>
        <w:snapToGrid w:val="0"/>
        <w:spacing w:line="440" w:lineRule="exact"/>
        <w:ind w:firstLine="420" w:firstLineChars="200"/>
        <w:rPr>
          <w:rFonts w:hint="eastAsia" w:eastAsiaTheme="minorEastAsia"/>
          <w:color w:val="auto"/>
          <w:highlight w:val="none"/>
          <w:lang w:val="en-US" w:eastAsia="zh-CN"/>
        </w:rPr>
      </w:pPr>
      <w:bookmarkStart w:id="34" w:name="_Toc525632591"/>
      <w:bookmarkStart w:id="35" w:name="_Toc22719"/>
      <w:r>
        <w:rPr>
          <w:rFonts w:ascii="Times New Roman" w:hAnsi="Times New Roman" w:cs="Times New Roman"/>
          <w:color w:val="auto"/>
          <w:szCs w:val="22"/>
          <w:highlight w:val="none"/>
        </w:rPr>
        <w:t>响应文件递交的截止时间为</w:t>
      </w:r>
      <w:r>
        <w:rPr>
          <w:rFonts w:hint="eastAsia" w:ascii="Times New Roman" w:hAnsi="Times New Roman" w:cs="Times New Roman"/>
          <w:color w:val="auto"/>
          <w:szCs w:val="22"/>
          <w:highlight w:val="none"/>
          <w:u w:val="single"/>
          <w:lang w:val="en-US" w:eastAsia="zh-CN"/>
        </w:rPr>
        <w:t>2024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16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eastAsia="zh-CN"/>
        </w:rPr>
        <w:t>（北京时间，下同）</w:t>
      </w:r>
      <w:r>
        <w:rPr>
          <w:rFonts w:ascii="Times New Roman" w:hAnsi="Times New Roman" w:cs="Times New Roman"/>
          <w:color w:val="auto"/>
          <w:szCs w:val="22"/>
          <w:highlight w:val="none"/>
        </w:rPr>
        <w:t>，供应商的法定代表人或其授权代理人应于</w:t>
      </w:r>
      <w:r>
        <w:rPr>
          <w:rFonts w:hint="eastAsia" w:ascii="Times New Roman" w:hAnsi="Times New Roman" w:cs="Times New Roman"/>
          <w:color w:val="auto"/>
          <w:szCs w:val="22"/>
          <w:highlight w:val="none"/>
          <w:u w:val="single"/>
          <w:lang w:val="en-US" w:eastAsia="zh-CN"/>
        </w:rPr>
        <w:t>2024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16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分递交的截止时间前将响应文件</w:t>
      </w:r>
      <w:r>
        <w:rPr>
          <w:rFonts w:hint="eastAsia" w:ascii="Times New Roman" w:hAnsi="Times New Roman" w:cs="Times New Roman"/>
          <w:color w:val="auto"/>
          <w:szCs w:val="22"/>
          <w:highlight w:val="none"/>
          <w:lang w:val="en-US" w:eastAsia="zh-CN"/>
        </w:rPr>
        <w:t>递交或邮寄至</w:t>
      </w:r>
      <w:r>
        <w:rPr>
          <w:rFonts w:ascii="Times New Roman" w:hAnsi="Times New Roman" w:cs="Times New Roman"/>
          <w:color w:val="auto"/>
          <w:szCs w:val="22"/>
          <w:highlight w:val="none"/>
          <w:u w:val="single"/>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lang w:val="en-US" w:eastAsia="zh-CN"/>
        </w:rPr>
        <w:t>（地点）</w:t>
      </w:r>
      <w:r>
        <w:rPr>
          <w:rFonts w:ascii="Times New Roman" w:hAnsi="Times New Roman" w:cs="Times New Roman"/>
          <w:color w:val="auto"/>
          <w:szCs w:val="22"/>
          <w:highlight w:val="none"/>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highlight w:val="none"/>
          <w:lang w:val="en-US" w:eastAsia="zh-CN" w:bidi="ar-SA"/>
        </w:rPr>
      </w:pPr>
      <w:r>
        <w:rPr>
          <w:rFonts w:hint="eastAsia" w:ascii="Times New Roman" w:hAnsi="Times New Roman" w:eastAsia="黑体" w:cs="Times New Roman"/>
          <w:b w:val="0"/>
          <w:bCs/>
          <w:kern w:val="2"/>
          <w:sz w:val="22"/>
          <w:szCs w:val="15"/>
          <w:highlight w:val="none"/>
          <w:lang w:val="en-US" w:eastAsia="zh-CN" w:bidi="ar-SA"/>
        </w:rPr>
        <w:t>响应文件启封</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lang w:val="en-US" w:eastAsia="zh-CN"/>
        </w:rPr>
        <w:t>_（地点）组织进行响应文件的启封。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highlight w:val="none"/>
          <w:lang w:val="en-US" w:eastAsia="zh-CN" w:bidi="ar-SA"/>
        </w:rPr>
      </w:pPr>
      <w:r>
        <w:rPr>
          <w:rFonts w:hint="eastAsia" w:ascii="Times New Roman" w:hAnsi="Times New Roman" w:eastAsia="黑体" w:cs="Times New Roman"/>
          <w:b w:val="0"/>
          <w:bCs/>
          <w:kern w:val="2"/>
          <w:sz w:val="22"/>
          <w:szCs w:val="15"/>
          <w:highlight w:val="none"/>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宋体" w:hAnsi="宋体" w:eastAsia="宋体" w:cs="宋体"/>
          <w:b/>
          <w:bCs/>
          <w:kern w:val="2"/>
          <w:sz w:val="21"/>
          <w:szCs w:val="21"/>
          <w:highlight w:val="none"/>
          <w:u w:val="single"/>
          <w:lang w:val="en-US" w:eastAsia="zh-CN" w:bidi="ar-SA"/>
        </w:rPr>
        <w:t xml:space="preserve"> </w:t>
      </w:r>
      <w:r>
        <w:rPr>
          <w:rFonts w:hint="eastAsia" w:ascii="宋体" w:hAnsi="宋体" w:eastAsia="宋体" w:cs="宋体"/>
          <w:b/>
          <w:bCs/>
          <w:kern w:val="2"/>
          <w:sz w:val="21"/>
          <w:szCs w:val="21"/>
          <w:highlight w:val="none"/>
          <w:u w:val="single"/>
          <w:lang w:val="en-US" w:eastAsia="zh-CN" w:bidi="ar-SA"/>
        </w:rPr>
        <w:t xml:space="preserve">0 </w:t>
      </w:r>
      <w:r>
        <w:rPr>
          <w:rFonts w:hint="eastAsia" w:ascii="宋体" w:hAnsi="宋体" w:eastAsia="宋体" w:cs="宋体"/>
          <w:b/>
          <w:bCs/>
          <w:kern w:val="2"/>
          <w:sz w:val="21"/>
          <w:szCs w:val="21"/>
          <w:highlight w:val="none"/>
          <w:lang w:val="en-US" w:eastAsia="zh-CN" w:bidi="ar-SA"/>
        </w:rPr>
        <w:t>元（大写：</w:t>
      </w:r>
      <w:r>
        <w:rPr>
          <w:rFonts w:hint="eastAsia" w:ascii="宋体" w:hAnsi="宋体" w:eastAsia="宋体" w:cs="宋体"/>
          <w:b/>
          <w:bCs/>
          <w:kern w:val="2"/>
          <w:sz w:val="21"/>
          <w:szCs w:val="21"/>
          <w:highlight w:val="none"/>
          <w:u w:val="single"/>
          <w:lang w:val="en-US" w:eastAsia="zh-CN" w:bidi="ar-SA"/>
        </w:rPr>
        <w:t xml:space="preserve">零元整 </w:t>
      </w:r>
      <w:r>
        <w:rPr>
          <w:rFonts w:hint="eastAsia" w:ascii="宋体" w:hAnsi="宋体" w:eastAsia="宋体" w:cs="宋体"/>
          <w:b/>
          <w:bCs/>
          <w:kern w:val="2"/>
          <w:sz w:val="21"/>
          <w:szCs w:val="21"/>
          <w:highlight w:val="none"/>
          <w:lang w:val="en-US" w:eastAsia="zh-CN" w:bidi="ar-SA"/>
        </w:rPr>
        <w:t xml:space="preserve"> ）</w:t>
      </w:r>
      <w:r>
        <w:rPr>
          <w:rFonts w:hint="eastAsia" w:ascii="宋体" w:hAnsi="宋体" w:eastAsia="宋体" w:cs="宋体"/>
          <w:b/>
          <w:bCs/>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开户银行：工行合肥蜀山支行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账号：1302012119200034038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“窗帘采购项目”</w:t>
      </w:r>
      <w:r>
        <w:rPr>
          <w:rFonts w:hint="eastAsia" w:ascii="宋体" w:hAnsi="宋体" w:eastAsia="宋体" w:cs="宋体"/>
          <w:kern w:val="2"/>
          <w:sz w:val="21"/>
          <w:szCs w:val="21"/>
          <w:highlight w:val="none"/>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highlight w:val="none"/>
          <w:lang w:val="en-US" w:eastAsia="zh-CN" w:bidi="ar-SA"/>
        </w:rPr>
      </w:pPr>
      <w:r>
        <w:rPr>
          <w:rFonts w:hint="eastAsia" w:ascii="Times New Roman" w:hAnsi="Times New Roman" w:eastAsia="黑体" w:cs="Times New Roman"/>
          <w:b w:val="0"/>
          <w:bCs/>
          <w:kern w:val="2"/>
          <w:sz w:val="22"/>
          <w:szCs w:val="15"/>
          <w:highlight w:val="none"/>
          <w:lang w:val="en-US" w:eastAsia="zh-CN" w:bidi="ar-SA"/>
        </w:rPr>
        <w:t>发布公告的媒介</w:t>
      </w:r>
      <w:bookmarkEnd w:id="34"/>
      <w:bookmarkEnd w:id="35"/>
    </w:p>
    <w:p>
      <w:pPr>
        <w:snapToGrid w:val="0"/>
        <w:spacing w:line="440" w:lineRule="exact"/>
        <w:ind w:firstLine="420" w:firstLineChars="200"/>
        <w:rPr>
          <w:rFonts w:hint="default"/>
          <w:highlight w:val="none"/>
          <w:lang w:val="en-US" w:eastAsia="zh-CN"/>
        </w:rPr>
      </w:pPr>
      <w:bookmarkStart w:id="36" w:name="_Toc14943_WPSOffice_Level2"/>
      <w:bookmarkStart w:id="37" w:name="_Toc525632592"/>
      <w:bookmarkStart w:id="38" w:name="_Toc26829"/>
      <w:bookmarkStart w:id="39" w:name="_Toc28571_WPSOffice_Level2"/>
      <w:bookmarkStart w:id="40" w:name="_Toc20572_WPSOffice_Level2"/>
      <w:bookmarkStart w:id="41" w:name="_Toc321_WPSOffice_Level2"/>
      <w:bookmarkStart w:id="42" w:name="_Toc8501"/>
      <w:r>
        <w:rPr>
          <w:rFonts w:ascii="Times New Roman" w:hAnsi="Times New Roman" w:cs="Times New Roman"/>
          <w:color w:val="000000" w:themeColor="text1"/>
          <w:szCs w:val="22"/>
          <w:highlight w:val="none"/>
          <w14:textFill>
            <w14:solidFill>
              <w14:schemeClr w14:val="tx1"/>
            </w14:solidFill>
          </w14:textFill>
        </w:rPr>
        <w:t>本次采购公告在</w:t>
      </w:r>
      <w:r>
        <w:rPr>
          <w:rFonts w:hint="eastAsia" w:ascii="Times New Roman" w:hAnsi="Times New Roman" w:cs="Times New Roman"/>
          <w:color w:val="000000" w:themeColor="text1"/>
          <w:szCs w:val="22"/>
          <w:highlight w:val="none"/>
          <w14:textFill>
            <w14:solidFill>
              <w14:schemeClr w14:val="tx1"/>
            </w14:solidFill>
          </w14:textFill>
        </w:rPr>
        <w:t>“</w:t>
      </w:r>
      <w:r>
        <w:rPr>
          <w:rFonts w:hint="eastAsia" w:ascii="Times New Roman" w:hAnsi="Times New Roman" w:cs="Times New Roman"/>
          <w:color w:val="000000" w:themeColor="text1"/>
          <w:szCs w:val="22"/>
          <w:highlight w:val="none"/>
          <w:lang w:eastAsia="zh-CN"/>
          <w14:textFill>
            <w14:solidFill>
              <w14:schemeClr w14:val="tx1"/>
            </w14:solidFill>
          </w14:textFill>
        </w:rPr>
        <w:t xml:space="preserve"> 安徽交控建设工程集团</w:t>
      </w:r>
      <w:r>
        <w:rPr>
          <w:rFonts w:hint="eastAsia" w:ascii="Times New Roman" w:hAnsi="Times New Roman" w:cs="Times New Roman"/>
          <w:color w:val="000000" w:themeColor="text1"/>
          <w:szCs w:val="22"/>
          <w:highlight w:val="none"/>
          <w14:textFill>
            <w14:solidFill>
              <w14:schemeClr w14:val="tx1"/>
            </w14:solidFill>
          </w14:textFill>
        </w:rPr>
        <w:t>”（网址：http://www.ahjggroup.com）“</w:t>
      </w:r>
      <w:r>
        <w:rPr>
          <w:rFonts w:hint="eastAsia" w:ascii="Times New Roman" w:hAnsi="Times New Roman" w:cs="Times New Roman"/>
          <w:color w:val="000000" w:themeColor="text1"/>
          <w:szCs w:val="22"/>
          <w:highlight w:val="none"/>
          <w:lang w:val="en-US" w:eastAsia="zh-CN"/>
          <w14:textFill>
            <w14:solidFill>
              <w14:schemeClr w14:val="tx1"/>
            </w14:solidFill>
          </w14:textFill>
        </w:rPr>
        <w:t>招标</w:t>
      </w:r>
      <w:r>
        <w:rPr>
          <w:rFonts w:hint="eastAsia" w:ascii="Times New Roman" w:hAnsi="Times New Roman" w:cs="Times New Roman"/>
          <w:color w:val="000000" w:themeColor="text1"/>
          <w:szCs w:val="22"/>
          <w:highlight w:val="none"/>
          <w14:textFill>
            <w14:solidFill>
              <w14:schemeClr w14:val="tx1"/>
            </w14:solidFill>
          </w14:textFill>
        </w:rPr>
        <w:t>公告”栏目中</w:t>
      </w:r>
      <w:r>
        <w:rPr>
          <w:rFonts w:ascii="Times New Roman" w:hAnsi="Times New Roman" w:cs="Times New Roman"/>
          <w:color w:val="000000" w:themeColor="text1"/>
          <w:szCs w:val="22"/>
          <w:highlight w:val="none"/>
          <w14:textFill>
            <w14:solidFill>
              <w14:schemeClr w14:val="tx1"/>
            </w14:solidFill>
          </w14:textFill>
        </w:rPr>
        <w:t>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Times New Roman" w:hAnsi="Times New Roman" w:eastAsia="黑体" w:cs="Times New Roman"/>
          <w:b w:val="0"/>
          <w:bCs/>
          <w:kern w:val="2"/>
          <w:sz w:val="22"/>
          <w:szCs w:val="15"/>
          <w:highlight w:val="none"/>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highlight w:val="none"/>
          <w:lang w:val="en-US" w:eastAsia="zh-CN" w:bidi="ar-SA"/>
        </w:rPr>
        <w:t xml:space="preserve">     </w:t>
      </w:r>
      <w:r>
        <w:rPr>
          <w:rFonts w:hint="eastAsia" w:ascii="宋体" w:hAnsi="宋体" w:eastAsia="宋体" w:cs="宋体"/>
          <w:b w:val="0"/>
          <w:bCs/>
          <w:kern w:val="2"/>
          <w:sz w:val="21"/>
          <w:szCs w:val="21"/>
          <w:highlight w:val="none"/>
          <w:lang w:val="en-US" w:eastAsia="zh-CN" w:bidi="ar-SA"/>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val="en-US" w:eastAsia="zh-CN"/>
        </w:rPr>
        <w:t>安徽交控建设工程集团有限公</w:t>
      </w:r>
      <w:r>
        <w:rPr>
          <w:rFonts w:hint="eastAsia" w:ascii="Times New Roman" w:hAnsi="Times New Roman" w:cs="Times New Roman"/>
          <w:color w:val="auto"/>
          <w:sz w:val="21"/>
          <w:szCs w:val="22"/>
          <w:highlight w:val="none"/>
          <w:u w:val="single"/>
          <w:lang w:val="en-US" w:eastAsia="zh-CN"/>
        </w:rPr>
        <w:t>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szCs w:val="22"/>
          <w:highlight w:val="none"/>
          <w:u w:val="single"/>
          <w:lang w:eastAsia="zh-CN"/>
        </w:rPr>
        <w:t>安徽省包河区西藏路</w:t>
      </w:r>
      <w:r>
        <w:rPr>
          <w:rFonts w:hint="eastAsia" w:ascii="Times New Roman" w:hAnsi="Times New Roman" w:cs="Times New Roman"/>
          <w:szCs w:val="22"/>
          <w:highlight w:val="none"/>
          <w:u w:val="single"/>
          <w:lang w:val="en-US" w:eastAsia="zh-CN"/>
        </w:rPr>
        <w:t>1588号高速时代广场C1栋10楼1008</w:t>
      </w:r>
      <w:r>
        <w:rPr>
          <w:rFonts w:hint="eastAsia" w:ascii="Times New Roman" w:hAnsi="Times New Roman" w:cs="Times New Roman"/>
          <w:color w:val="auto"/>
          <w:sz w:val="21"/>
          <w:szCs w:val="22"/>
          <w:highlight w:val="none"/>
          <w:u w:val="single"/>
          <w:lang w:val="en-US" w:eastAsia="zh-CN"/>
        </w:rPr>
        <w:t>物资公司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高工    周工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widowControl/>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 xml:space="preserve">13135521559    15855127123  </w:t>
      </w:r>
    </w:p>
    <w:p>
      <w:pPr>
        <w:spacing w:line="440" w:lineRule="exact"/>
        <w:ind w:firstLine="420" w:firstLineChars="200"/>
        <w:rPr>
          <w:rFonts w:ascii="Times New Roman" w:hAnsi="Times New Roman" w:cs="Times New Roman"/>
          <w:szCs w:val="22"/>
          <w:highlight w:val="none"/>
          <w:u w:val="singl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u w:val="single"/>
          <w:lang w:val="en-US" w:eastAsia="zh-CN"/>
        </w:rPr>
        <w:t>546117699@qq.com</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olor w:val="auto"/>
          <w:sz w:val="21"/>
          <w:szCs w:val="22"/>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pStyle w:val="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32"/>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p>
    <w:p>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pPr>
        <w:pStyle w:val="2"/>
        <w:spacing w:before="312" w:after="312"/>
        <w:rPr>
          <w:rFonts w:ascii="Times New Roman" w:hAnsi="Times New Roman" w:eastAsia="宋体" w:cs="Times New Roman"/>
          <w:highlight w:val="none"/>
        </w:rPr>
      </w:pPr>
      <w:bookmarkStart w:id="43" w:name="_Toc26240"/>
      <w:r>
        <w:rPr>
          <w:rFonts w:ascii="Times New Roman" w:hAnsi="Times New Roman" w:eastAsia="宋体" w:cs="Times New Roman"/>
          <w:highlight w:val="none"/>
        </w:rPr>
        <w:t>供应商须知</w:t>
      </w:r>
      <w:bookmarkEnd w:id="43"/>
    </w:p>
    <w:p>
      <w:pPr>
        <w:spacing w:line="440" w:lineRule="exact"/>
        <w:jc w:val="center"/>
        <w:outlineLvl w:val="1"/>
        <w:rPr>
          <w:rFonts w:ascii="Times New Roman" w:hAnsi="Times New Roman" w:eastAsia="黑体" w:cs="Times New Roman"/>
          <w:sz w:val="28"/>
          <w:szCs w:val="28"/>
          <w:highlight w:val="none"/>
        </w:rPr>
      </w:pPr>
      <w:bookmarkStart w:id="44" w:name="_Toc19501"/>
      <w:bookmarkStart w:id="45" w:name="_Toc29381_WPSOffice_Level2"/>
      <w:bookmarkStart w:id="46" w:name="_Toc55466811"/>
      <w:bookmarkStart w:id="47" w:name="_Toc16069"/>
      <w:bookmarkStart w:id="48" w:name="_Toc26656928"/>
      <w:r>
        <w:rPr>
          <w:rFonts w:ascii="Times New Roman" w:hAnsi="Times New Roman" w:eastAsia="黑体" w:cs="Times New Roman"/>
          <w:sz w:val="28"/>
          <w:szCs w:val="28"/>
          <w:highlight w:val="none"/>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供应商</w:t>
            </w:r>
            <w:r>
              <w:rPr>
                <w:rFonts w:hint="eastAsia" w:ascii="Times New Roman" w:hAnsi="Times New Roman" w:eastAsia="宋体" w:cs="Times New Roman"/>
                <w:szCs w:val="21"/>
                <w:highlight w:val="none"/>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highlight w:val="none"/>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highlight w:val="none"/>
              </w:rPr>
            </w:pPr>
            <w:r>
              <w:rPr>
                <w:rFonts w:hint="eastAsia" w:ascii="Times New Roman" w:hAnsi="Times New Roman" w:eastAsia="宋体" w:cs="Times New Roman"/>
                <w:szCs w:val="21"/>
                <w:highlight w:val="none"/>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rPr>
            </w:pPr>
            <w:r>
              <w:rPr>
                <w:rFonts w:hint="eastAsia"/>
                <w:highlight w:val="none"/>
                <w:lang w:eastAsia="zh-CN"/>
              </w:rPr>
              <w:t>☑</w:t>
            </w:r>
            <w:r>
              <w:rPr>
                <w:rFonts w:hint="eastAsia" w:ascii="Times New Roman" w:hAnsi="Times New Roman" w:eastAsia="宋体" w:cs="Times New Roman"/>
                <w:szCs w:val="21"/>
                <w:highlight w:val="none"/>
              </w:rPr>
              <w:t>固定</w:t>
            </w:r>
            <w:r>
              <w:rPr>
                <w:rFonts w:ascii="Times New Roman" w:hAnsi="Times New Roman" w:eastAsia="宋体" w:cs="Times New Roman"/>
                <w:szCs w:val="21"/>
                <w:highlight w:val="none"/>
              </w:rPr>
              <w:t>单价</w:t>
            </w:r>
          </w:p>
          <w:p>
            <w:pPr>
              <w:spacing w:line="480" w:lineRule="exact"/>
              <w:rPr>
                <w:rFonts w:ascii="Times New Roman" w:hAnsi="Times New Roman" w:eastAsia="宋体" w:cs="Times New Roman"/>
                <w:szCs w:val="21"/>
                <w:highlight w:val="none"/>
              </w:rPr>
            </w:pPr>
            <w:r>
              <w:rPr>
                <w:rFonts w:hint="eastAsia"/>
                <w:highlight w:val="none"/>
                <w:lang w:eastAsia="zh-CN"/>
              </w:rPr>
              <w:t>□</w:t>
            </w:r>
            <w:r>
              <w:rPr>
                <w:rFonts w:hint="eastAsia" w:ascii="Times New Roman" w:hAnsi="Times New Roman" w:eastAsia="宋体" w:cs="Times New Roman"/>
                <w:szCs w:val="21"/>
                <w:highlight w:val="none"/>
              </w:rPr>
              <w:t>固定</w:t>
            </w:r>
            <w:r>
              <w:rPr>
                <w:rFonts w:ascii="Times New Roman" w:hAnsi="Times New Roman" w:eastAsia="宋体" w:cs="Times New Roman"/>
                <w:szCs w:val="21"/>
                <w:highlight w:val="none"/>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3.4.4</w:t>
            </w:r>
            <w:r>
              <w:rPr>
                <w:rFonts w:hint="eastAsia" w:ascii="Times New Roman" w:hAnsi="Times New Roman" w:eastAsia="宋体" w:cs="Times New Roman"/>
                <w:szCs w:val="21"/>
                <w:highlight w:val="none"/>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cs="Times New Roman"/>
                <w:highlight w:val="none"/>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eastAsia" w:ascii="宋体" w:hAnsi="宋体" w:eastAsia="宋体" w:cs="宋体"/>
                <w:sz w:val="22"/>
                <w:szCs w:val="22"/>
                <w:highlight w:val="none"/>
              </w:rPr>
              <w:t>报</w:t>
            </w:r>
            <w:r>
              <w:rPr>
                <w:rFonts w:hint="eastAsia" w:ascii="宋体" w:hAnsi="宋体" w:eastAsia="宋体" w:cs="宋体"/>
                <w:sz w:val="21"/>
                <w:szCs w:val="21"/>
                <w:highlight w:val="none"/>
              </w:rPr>
              <w:t>价方出现以下情形的，其询价响应保证金将不予退还：</w:t>
            </w:r>
          </w:p>
          <w:p>
            <w:pPr>
              <w:pStyle w:val="7"/>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报价方在规定的响应有效期内撤销其响应文件</w:t>
            </w:r>
            <w:r>
              <w:rPr>
                <w:rFonts w:hint="eastAsia" w:ascii="宋体" w:hAnsi="宋体" w:eastAsia="宋体" w:cs="宋体"/>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7"/>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highlight w:val="none"/>
              </w:rPr>
            </w:pPr>
            <w:r>
              <w:rPr>
                <w:rFonts w:hint="eastAsia" w:ascii="Times New Roman" w:hAnsi="Times New Roman" w:cs="Times New Roman"/>
                <w:highlight w:val="none"/>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highlight w:val="none"/>
              </w:rPr>
            </w:pPr>
            <w:r>
              <w:rPr>
                <w:rFonts w:hint="eastAsia" w:ascii="Times New Roman" w:hAnsi="Times New Roman" w:cs="Times New Roman"/>
                <w:highlight w:val="none"/>
                <w:lang w:val="en-US" w:eastAsia="zh-CN"/>
              </w:rPr>
              <w:t>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highlight w:val="none"/>
              </w:rPr>
            </w:pPr>
            <w:r>
              <w:rPr>
                <w:rFonts w:hint="eastAsia" w:ascii="Times New Roman" w:hAnsi="Times New Roman" w:cs="Times New Roman"/>
                <w:b/>
                <w:bCs/>
                <w:highlight w:val="none"/>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none"/>
              </w:rPr>
            </w:pPr>
            <w:r>
              <w:rPr>
                <w:rFonts w:ascii="Times New Roman" w:hAnsi="Times New Roman" w:cs="Times New Roman"/>
                <w:highlight w:val="none"/>
              </w:rPr>
              <w:t>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w:t>
            </w:r>
            <w:r>
              <w:rPr>
                <w:rFonts w:hint="eastAsia" w:ascii="Times New Roman" w:hAnsi="Times New Roman" w:cs="Times New Roman"/>
                <w:highlight w:val="none"/>
                <w:lang w:val="en-US" w:eastAsia="zh-CN"/>
              </w:rPr>
              <w:t>密封。</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（1）中标后，响应保证金自动转为履约保证金。</w:t>
            </w:r>
          </w:p>
          <w:p>
            <w:pPr>
              <w:snapToGrid w:val="0"/>
              <w:spacing w:line="480" w:lineRule="exact"/>
              <w:rPr>
                <w:highlight w:val="none"/>
              </w:rPr>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highlight w:val="none"/>
                <w:lang w:val="en-US" w:eastAsia="zh-CN"/>
              </w:rPr>
            </w:pPr>
            <w:r>
              <w:rPr>
                <w:rFonts w:hint="eastAsia"/>
                <w:highlight w:val="none"/>
                <w:lang w:val="en-US" w:eastAsia="zh-CN"/>
              </w:rPr>
              <w:t>投标人或其他利害关系人对评标结果有异议的，应以书面形式提出，异议材料应包括：</w:t>
            </w:r>
          </w:p>
          <w:p>
            <w:pPr>
              <w:snapToGrid w:val="0"/>
              <w:spacing w:line="480" w:lineRule="exact"/>
              <w:rPr>
                <w:rFonts w:hint="eastAsia"/>
                <w:highlight w:val="none"/>
                <w:lang w:val="en-US" w:eastAsia="zh-CN"/>
              </w:rPr>
            </w:pPr>
            <w:r>
              <w:rPr>
                <w:rFonts w:hint="eastAsia"/>
                <w:highlight w:val="none"/>
                <w:lang w:val="en-US" w:eastAsia="zh-CN"/>
              </w:rPr>
              <w:t>（1）异议人的名称、地址及有效联系方式；</w:t>
            </w:r>
          </w:p>
          <w:p>
            <w:pPr>
              <w:snapToGrid w:val="0"/>
              <w:spacing w:line="480" w:lineRule="exact"/>
              <w:rPr>
                <w:rFonts w:hint="eastAsia"/>
                <w:highlight w:val="none"/>
                <w:lang w:val="en-US" w:eastAsia="zh-CN"/>
              </w:rPr>
            </w:pPr>
            <w:r>
              <w:rPr>
                <w:rFonts w:hint="eastAsia"/>
                <w:highlight w:val="none"/>
                <w:lang w:val="en-US" w:eastAsia="zh-CN"/>
              </w:rPr>
              <w:t>（2）异议事项的基本事实；</w:t>
            </w:r>
          </w:p>
          <w:p>
            <w:pPr>
              <w:snapToGrid w:val="0"/>
              <w:spacing w:line="480" w:lineRule="exact"/>
              <w:rPr>
                <w:rFonts w:hint="eastAsia"/>
                <w:highlight w:val="none"/>
                <w:lang w:val="en-US" w:eastAsia="zh-CN"/>
              </w:rPr>
            </w:pPr>
            <w:r>
              <w:rPr>
                <w:rFonts w:hint="eastAsia"/>
                <w:highlight w:val="none"/>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highlight w:val="none"/>
                <w:lang w:val="en-US" w:eastAsia="zh-CN"/>
              </w:rPr>
            </w:pPr>
            <w:r>
              <w:rPr>
                <w:rFonts w:hint="eastAsia"/>
                <w:highlight w:val="none"/>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b/>
                <w:bCs/>
                <w:szCs w:val="21"/>
                <w:highlight w:val="none"/>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eastAsia"/>
                <w:b/>
                <w:bCs/>
                <w:highlight w:val="none"/>
                <w:lang w:val="en-US" w:eastAsia="zh-CN"/>
              </w:rPr>
            </w:pPr>
            <w:r>
              <w:rPr>
                <w:rFonts w:hint="eastAsia" w:asciiTheme="minorHAnsi" w:eastAsiaTheme="minorEastAsia"/>
                <w:b/>
                <w:bCs/>
                <w:highlight w:val="none"/>
                <w:lang w:val="en-US" w:eastAsia="zh-CN"/>
              </w:rPr>
              <w:t>1.</w:t>
            </w:r>
            <w:r>
              <w:rPr>
                <w:rFonts w:hint="eastAsia" w:ascii="Times New Roman" w:eastAsia="宋体"/>
                <w:b/>
                <w:bCs/>
                <w:highlight w:val="none"/>
                <w:lang w:val="en-US" w:eastAsia="zh-CN"/>
              </w:rPr>
              <w:t>在供应过程中达不到采购人要求的：</w:t>
            </w:r>
          </w:p>
          <w:p>
            <w:pPr>
              <w:snapToGrid w:val="0"/>
              <w:spacing w:line="360" w:lineRule="auto"/>
              <w:ind w:firstLine="420" w:firstLineChars="200"/>
              <w:rPr>
                <w:rFonts w:hint="eastAsia"/>
                <w:highlight w:val="none"/>
                <w:lang w:val="en-US" w:eastAsia="zh-CN"/>
              </w:rPr>
            </w:pPr>
            <w:r>
              <w:rPr>
                <w:rFonts w:hint="eastAsia" w:asciiTheme="minorHAnsi" w:eastAsiaTheme="minorEastAsia"/>
                <w:highlight w:val="none"/>
                <w:lang w:val="en-US" w:eastAsia="zh-CN"/>
              </w:rPr>
              <w:t>1）采购人有权终止合同，并依据合同规定追究法律责任。</w:t>
            </w:r>
          </w:p>
          <w:p>
            <w:pPr>
              <w:snapToGrid w:val="0"/>
              <w:spacing w:line="360" w:lineRule="auto"/>
              <w:ind w:firstLine="420" w:firstLineChars="200"/>
              <w:rPr>
                <w:rFonts w:hint="eastAsia" w:asciiTheme="minorHAnsi" w:eastAsiaTheme="minorEastAsia"/>
                <w:highlight w:val="none"/>
                <w:lang w:val="en-US" w:eastAsia="zh-CN"/>
              </w:rPr>
            </w:pPr>
            <w:r>
              <w:rPr>
                <w:rFonts w:hint="eastAsia" w:asciiTheme="minorHAnsi" w:eastAsiaTheme="minorEastAsia"/>
                <w:highlight w:val="none"/>
                <w:lang w:val="en-US" w:eastAsia="zh-CN"/>
              </w:rPr>
              <w:t>2）采购人有权将违约行为有权按照约定进行处罚。</w:t>
            </w:r>
          </w:p>
          <w:p>
            <w:pPr>
              <w:pStyle w:val="7"/>
              <w:ind w:firstLine="420" w:firstLineChars="200"/>
              <w:rPr>
                <w:rFonts w:hint="default"/>
                <w:highlight w:val="none"/>
                <w:lang w:val="en-US" w:eastAsia="zh-CN"/>
              </w:rPr>
            </w:pPr>
            <w:r>
              <w:rPr>
                <w:rFonts w:hint="eastAsia"/>
                <w:highlight w:val="none"/>
                <w:lang w:val="en-US" w:eastAsia="zh-CN"/>
              </w:rPr>
              <w:t>3）</w:t>
            </w:r>
            <w:r>
              <w:rPr>
                <w:rFonts w:hint="eastAsia" w:asciiTheme="minorHAnsi" w:eastAsiaTheme="minorEastAsia"/>
                <w:highlight w:val="none"/>
                <w:lang w:val="en-US" w:eastAsia="zh-CN"/>
              </w:rPr>
              <w:t>采购人有权</w:t>
            </w:r>
            <w:r>
              <w:rPr>
                <w:rFonts w:hint="eastAsia"/>
                <w:highlight w:val="none"/>
                <w:lang w:val="en-US" w:eastAsia="zh-CN"/>
              </w:rPr>
              <w:t>将未完成的工程量移交给第三方实施，供应商应无条件配合相关移交工作。</w:t>
            </w:r>
          </w:p>
          <w:p>
            <w:pPr>
              <w:pStyle w:val="7"/>
              <w:spacing w:line="360" w:lineRule="auto"/>
              <w:ind w:firstLine="420" w:firstLineChars="200"/>
              <w:rPr>
                <w:rFonts w:hint="default" w:cstheme="minorBidi"/>
                <w:b/>
                <w:bCs/>
                <w:kern w:val="2"/>
                <w:sz w:val="21"/>
                <w:szCs w:val="24"/>
                <w:highlight w:val="none"/>
                <w:lang w:val="en-US" w:eastAsia="zh-CN" w:bidi="ar-SA"/>
              </w:rPr>
            </w:pPr>
            <w:r>
              <w:rPr>
                <w:rFonts w:hint="eastAsia" w:cstheme="minorBidi"/>
                <w:b/>
                <w:bCs/>
                <w:kern w:val="2"/>
                <w:sz w:val="21"/>
                <w:szCs w:val="24"/>
                <w:highlight w:val="none"/>
                <w:lang w:val="en-US" w:eastAsia="zh-CN" w:bidi="ar-SA"/>
              </w:rPr>
              <w:t>2.</w:t>
            </w:r>
            <w:r>
              <w:rPr>
                <w:rFonts w:hint="eastAsia" w:asciiTheme="minorHAnsi" w:hAnsiTheme="minorHAnsi" w:eastAsiaTheme="minorEastAsia" w:cstheme="minorBidi"/>
                <w:b/>
                <w:bCs/>
                <w:kern w:val="2"/>
                <w:sz w:val="21"/>
                <w:szCs w:val="24"/>
                <w:highlight w:val="none"/>
                <w:lang w:val="en-US" w:eastAsia="zh-CN" w:bidi="ar-SA"/>
              </w:rPr>
              <w:t>报价完全考虑</w:t>
            </w:r>
            <w:r>
              <w:rPr>
                <w:rFonts w:hint="eastAsia" w:cstheme="minorBidi"/>
                <w:b/>
                <w:bCs/>
                <w:kern w:val="2"/>
                <w:sz w:val="21"/>
                <w:szCs w:val="24"/>
                <w:highlight w:val="none"/>
                <w:lang w:val="en-US" w:eastAsia="zh-CN" w:bidi="ar-SA"/>
              </w:rPr>
              <w:t>报价</w:t>
            </w:r>
            <w:r>
              <w:rPr>
                <w:rFonts w:hint="eastAsia" w:asciiTheme="minorHAnsi" w:hAnsiTheme="minorHAnsi" w:eastAsiaTheme="minorEastAsia" w:cstheme="minorBidi"/>
                <w:b/>
                <w:bCs/>
                <w:kern w:val="2"/>
                <w:sz w:val="21"/>
                <w:szCs w:val="24"/>
                <w:highlight w:val="none"/>
                <w:lang w:val="en-US" w:eastAsia="zh-CN" w:bidi="ar-SA"/>
              </w:rPr>
              <w:t>清单</w:t>
            </w:r>
            <w:r>
              <w:rPr>
                <w:rFonts w:hint="eastAsia" w:cstheme="minorBidi"/>
                <w:b/>
                <w:bCs/>
                <w:kern w:val="2"/>
                <w:sz w:val="21"/>
                <w:szCs w:val="24"/>
                <w:highlight w:val="none"/>
                <w:lang w:val="en-US" w:eastAsia="zh-CN" w:bidi="ar-SA"/>
              </w:rPr>
              <w:t>要求</w:t>
            </w:r>
            <w:r>
              <w:rPr>
                <w:rFonts w:hint="eastAsia" w:asciiTheme="minorHAnsi" w:hAnsiTheme="minorHAnsi" w:eastAsiaTheme="minorEastAsia" w:cstheme="minorBidi"/>
                <w:b/>
                <w:bCs/>
                <w:kern w:val="2"/>
                <w:sz w:val="21"/>
                <w:szCs w:val="24"/>
                <w:highlight w:val="none"/>
                <w:lang w:val="en-US" w:eastAsia="zh-CN" w:bidi="ar-SA"/>
              </w:rPr>
              <w:t>内容</w:t>
            </w:r>
            <w:r>
              <w:rPr>
                <w:rFonts w:hint="eastAsia" w:cstheme="minorBidi"/>
                <w:b/>
                <w:bCs/>
                <w:kern w:val="2"/>
                <w:sz w:val="21"/>
                <w:szCs w:val="24"/>
                <w:highlight w:val="none"/>
                <w:lang w:val="en-US" w:eastAsia="zh-CN" w:bidi="ar-SA"/>
              </w:rPr>
              <w:t>，含清单内要求的品牌，材质，工艺，辅材等。</w:t>
            </w:r>
          </w:p>
          <w:p>
            <w:pPr>
              <w:spacing w:line="360" w:lineRule="auto"/>
              <w:ind w:firstLine="420" w:firstLineChars="200"/>
              <w:rPr>
                <w:rFonts w:hint="default" w:ascii="Times New Roman" w:eastAsia="宋体"/>
                <w:b/>
                <w:bCs/>
                <w:highlight w:val="none"/>
                <w:lang w:val="en-US" w:eastAsia="zh-CN"/>
              </w:rPr>
            </w:pPr>
            <w:r>
              <w:rPr>
                <w:rFonts w:hint="eastAsia" w:cstheme="minorBidi"/>
                <w:b/>
                <w:bCs/>
                <w:kern w:val="2"/>
                <w:sz w:val="21"/>
                <w:szCs w:val="24"/>
                <w:highlight w:val="none"/>
                <w:lang w:val="en-US" w:eastAsia="zh-CN" w:bidi="ar-SA"/>
              </w:rPr>
              <w:t>3.</w:t>
            </w:r>
            <w:r>
              <w:rPr>
                <w:rFonts w:hint="eastAsia" w:ascii="Times New Roman" w:eastAsia="宋体"/>
                <w:b/>
                <w:bCs/>
                <w:highlight w:val="none"/>
                <w:lang w:val="en-US" w:eastAsia="zh-CN"/>
              </w:rPr>
              <w:t>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highlight w:val="none"/>
                <w:lang w:val="en-US" w:eastAsia="zh-CN"/>
              </w:rPr>
            </w:pPr>
            <w:r>
              <w:rPr>
                <w:rFonts w:hint="eastAsia"/>
                <w:highlight w:val="none"/>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pPr>
        <w:rPr>
          <w:highlight w:val="none"/>
        </w:rPr>
      </w:pPr>
      <w:r>
        <w:rPr>
          <w:rFonts w:hint="eastAsia" w:ascii="Times New Roman" w:hAnsi="Times New Roman" w:cs="Times New Roman"/>
          <w:szCs w:val="21"/>
          <w:highlight w:val="none"/>
        </w:rPr>
        <w:t>注：供应商须知正文</w:t>
      </w:r>
      <w:r>
        <w:rPr>
          <w:rFonts w:ascii="Times New Roman" w:hAnsi="Times New Roman" w:cs="Times New Roman"/>
          <w:szCs w:val="21"/>
          <w:highlight w:val="none"/>
        </w:rPr>
        <w:t>与前附表</w:t>
      </w:r>
      <w:r>
        <w:rPr>
          <w:rFonts w:hint="eastAsia" w:ascii="Times New Roman" w:hAnsi="Times New Roman" w:cs="Times New Roman"/>
          <w:szCs w:val="21"/>
          <w:highlight w:val="none"/>
        </w:rPr>
        <w:t>内容</w:t>
      </w:r>
      <w:r>
        <w:rPr>
          <w:rFonts w:ascii="Times New Roman" w:hAnsi="Times New Roman" w:cs="Times New Roman"/>
          <w:szCs w:val="21"/>
          <w:highlight w:val="none"/>
        </w:rPr>
        <w:t>不一致</w:t>
      </w:r>
      <w:r>
        <w:rPr>
          <w:rFonts w:hint="eastAsia" w:ascii="Times New Roman" w:hAnsi="Times New Roman" w:cs="Times New Roman"/>
          <w:szCs w:val="21"/>
          <w:highlight w:val="none"/>
        </w:rPr>
        <w:t>时</w:t>
      </w:r>
      <w:r>
        <w:rPr>
          <w:rFonts w:ascii="Times New Roman" w:hAnsi="Times New Roman" w:cs="Times New Roman"/>
          <w:szCs w:val="21"/>
          <w:highlight w:val="none"/>
        </w:rPr>
        <w:t>，以供应商</w:t>
      </w:r>
      <w:r>
        <w:rPr>
          <w:rFonts w:hint="eastAsia" w:ascii="Times New Roman" w:hAnsi="Times New Roman" w:cs="Times New Roman"/>
          <w:szCs w:val="21"/>
          <w:highlight w:val="none"/>
        </w:rPr>
        <w:t>须知</w:t>
      </w:r>
      <w:r>
        <w:rPr>
          <w:rFonts w:ascii="Times New Roman" w:hAnsi="Times New Roman" w:cs="Times New Roman"/>
          <w:szCs w:val="21"/>
          <w:highlight w:val="none"/>
        </w:rPr>
        <w:t>前附表</w:t>
      </w:r>
      <w:r>
        <w:rPr>
          <w:rFonts w:hint="eastAsia" w:ascii="Times New Roman" w:hAnsi="Times New Roman" w:cs="Times New Roman"/>
          <w:szCs w:val="21"/>
          <w:highlight w:val="none"/>
        </w:rPr>
        <w:t>的</w:t>
      </w:r>
      <w:r>
        <w:rPr>
          <w:rFonts w:ascii="Times New Roman" w:hAnsi="Times New Roman" w:cs="Times New Roman"/>
          <w:szCs w:val="21"/>
          <w:highlight w:val="none"/>
        </w:rPr>
        <w:t>内容为准</w:t>
      </w:r>
      <w:r>
        <w:rPr>
          <w:rFonts w:hint="eastAsia" w:ascii="Times New Roman" w:hAnsi="Times New Roman" w:cs="Times New Roman"/>
          <w:szCs w:val="21"/>
          <w:highlight w:val="none"/>
        </w:rPr>
        <w:t>。</w:t>
      </w:r>
    </w:p>
    <w:p>
      <w:pPr>
        <w:rPr>
          <w:rFonts w:ascii="Times New Roman" w:hAnsi="Times New Roman" w:eastAsia="黑体" w:cs="Times New Roman"/>
          <w:bCs/>
          <w:sz w:val="24"/>
          <w:szCs w:val="32"/>
          <w:highlight w:val="none"/>
        </w:rPr>
      </w:pPr>
      <w:bookmarkStart w:id="49" w:name="_Toc26656938"/>
      <w:bookmarkStart w:id="50" w:name="_Toc9067720"/>
      <w:bookmarkStart w:id="51" w:name="_Toc14201207"/>
      <w:r>
        <w:rPr>
          <w:rFonts w:ascii="Times New Roman" w:hAnsi="Times New Roman" w:eastAsia="黑体" w:cs="Times New Roman"/>
          <w:bCs/>
          <w:sz w:val="24"/>
          <w:szCs w:val="32"/>
          <w:highlight w:val="none"/>
        </w:rPr>
        <w:br w:type="page"/>
      </w:r>
    </w:p>
    <w:p>
      <w:pPr>
        <w:jc w:val="center"/>
        <w:rPr>
          <w:highlight w:val="none"/>
        </w:rPr>
      </w:pPr>
      <w:r>
        <w:rPr>
          <w:rFonts w:hint="eastAsia" w:ascii="黑体" w:eastAsia="黑体"/>
          <w:sz w:val="24"/>
          <w:szCs w:val="24"/>
          <w:highlight w:val="none"/>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7"/>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pStyle w:val="7"/>
              <w:jc w:val="center"/>
              <w:rPr>
                <w:highlight w:val="none"/>
              </w:rPr>
            </w:pPr>
            <w:r>
              <w:rPr>
                <w:rFonts w:hint="eastAsia"/>
                <w:highlight w:val="none"/>
              </w:rPr>
              <w:t xml:space="preserve"> </w:t>
            </w:r>
            <w:r>
              <w:rPr>
                <w:rFonts w:hint="eastAsia"/>
                <w:highlight w:val="none"/>
                <w:lang w:val="en-US" w:eastAsia="zh-CN"/>
              </w:rPr>
              <w:t>/</w:t>
            </w:r>
          </w:p>
        </w:tc>
      </w:tr>
    </w:tbl>
    <w:p>
      <w:pPr>
        <w:bidi w:val="0"/>
        <w:rPr>
          <w:rFonts w:hint="eastAsia"/>
          <w:highlight w:val="none"/>
          <w:lang w:val="en-US" w:eastAsia="zh-CN"/>
        </w:rPr>
      </w:pPr>
      <w:r>
        <w:rPr>
          <w:rFonts w:hint="eastAsia"/>
          <w:highlight w:val="none"/>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②若合同协议书中不能明确反映出采购文件所要求内容的（如合同金额、合同签订时间、供货内容等），则须提供业主单位（甲方）出具加盖公章的证明材料扫描件。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highlight w:val="none"/>
          <w:lang w:val="en-US" w:eastAsia="zh-CN"/>
        </w:rPr>
        <w:t>④</w:t>
      </w:r>
      <w:r>
        <w:rPr>
          <w:rFonts w:hint="eastAsia"/>
          <w:highlight w:val="none"/>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7"/>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highlight w:val="none"/>
              </w:rPr>
            </w:pPr>
            <w:r>
              <w:rPr>
                <w:rFonts w:hint="eastAsia"/>
                <w:highlight w:val="none"/>
              </w:rPr>
              <w:t>1.投标人、法定代表人近三年内无行贿犯罪行为。</w:t>
            </w:r>
          </w:p>
          <w:p>
            <w:pPr>
              <w:spacing w:line="276" w:lineRule="auto"/>
              <w:ind w:firstLine="210" w:firstLineChars="100"/>
              <w:jc w:val="left"/>
              <w:rPr>
                <w:rFonts w:hint="eastAsia"/>
                <w:highlight w:val="none"/>
              </w:rPr>
            </w:pPr>
            <w:r>
              <w:rPr>
                <w:rFonts w:hint="eastAsia"/>
                <w:highlight w:val="none"/>
              </w:rPr>
              <w:t>2.投标人未被人民法院列入失信被执行人（以“信用中国”官网http://www.creditchina.gov.cn查询为准）。</w:t>
            </w:r>
          </w:p>
          <w:p>
            <w:pPr>
              <w:spacing w:line="276" w:lineRule="auto"/>
              <w:ind w:firstLine="210" w:firstLineChars="100"/>
              <w:jc w:val="left"/>
              <w:rPr>
                <w:rFonts w:hint="eastAsia"/>
                <w:highlight w:val="none"/>
              </w:rPr>
            </w:pPr>
            <w:r>
              <w:rPr>
                <w:rFonts w:hint="eastAsia"/>
                <w:highlight w:val="none"/>
              </w:rPr>
              <w:t>3投标人没有正受到责令停业，暂扣或吊销执照，或吊销资质证书。</w:t>
            </w:r>
          </w:p>
          <w:p>
            <w:pPr>
              <w:spacing w:line="276" w:lineRule="auto"/>
              <w:ind w:firstLine="210" w:firstLineChars="100"/>
              <w:jc w:val="left"/>
              <w:rPr>
                <w:rFonts w:hint="eastAsia"/>
                <w:highlight w:val="none"/>
              </w:rPr>
            </w:pPr>
            <w:r>
              <w:rPr>
                <w:rFonts w:hint="eastAsia"/>
                <w:highlight w:val="none"/>
                <w:lang w:val="en-US" w:eastAsia="zh-CN"/>
              </w:rPr>
              <w:t>4</w:t>
            </w:r>
            <w:r>
              <w:rPr>
                <w:rFonts w:hint="eastAsia"/>
                <w:highlight w:val="none"/>
              </w:rPr>
              <w:t>.没有进入清算程序，或被宣告破产，或其他丧失履约能力的情形。</w:t>
            </w:r>
          </w:p>
          <w:p>
            <w:pPr>
              <w:spacing w:line="276" w:lineRule="auto"/>
              <w:ind w:firstLine="210" w:firstLineChars="100"/>
              <w:jc w:val="left"/>
              <w:rPr>
                <w:rFonts w:hint="eastAsia"/>
                <w:highlight w:val="none"/>
              </w:rPr>
            </w:pPr>
            <w:r>
              <w:rPr>
                <w:rFonts w:hint="eastAsia"/>
                <w:highlight w:val="none"/>
                <w:lang w:val="en-US" w:eastAsia="zh-CN"/>
              </w:rPr>
              <w:t>5</w:t>
            </w:r>
            <w:r>
              <w:rPr>
                <w:rFonts w:hint="eastAsia"/>
                <w:highlight w:val="none"/>
              </w:rPr>
              <w:t>.没有在国家企业信用信息公示系统（http://www.gsxt.gov.cn）中被列入严重违法失信企业名单。</w:t>
            </w:r>
          </w:p>
          <w:p>
            <w:pPr>
              <w:spacing w:line="276" w:lineRule="auto"/>
              <w:ind w:firstLine="210" w:firstLineChars="100"/>
              <w:jc w:val="left"/>
              <w:rPr>
                <w:rFonts w:hint="eastAsia"/>
                <w:highlight w:val="none"/>
              </w:rPr>
            </w:pPr>
            <w:r>
              <w:rPr>
                <w:rFonts w:hint="eastAsia"/>
                <w:highlight w:val="none"/>
                <w:lang w:val="en-US" w:eastAsia="zh-CN"/>
              </w:rPr>
              <w:t>6</w:t>
            </w:r>
            <w:r>
              <w:rPr>
                <w:rFonts w:hint="eastAsia"/>
                <w:highlight w:val="none"/>
              </w:rPr>
              <w:t>.没有法律法规规定的其他情形。</w:t>
            </w:r>
          </w:p>
          <w:p>
            <w:pPr>
              <w:pStyle w:val="32"/>
              <w:rPr>
                <w:rFonts w:hint="eastAsia"/>
                <w:highlight w:val="none"/>
              </w:rPr>
            </w:pPr>
          </w:p>
        </w:tc>
      </w:tr>
    </w:tbl>
    <w:p>
      <w:pPr>
        <w:pStyle w:val="32"/>
        <w:rPr>
          <w:rFonts w:ascii="Times New Roman" w:hAnsi="Times New Roman" w:eastAsia="黑体" w:cs="Times New Roman"/>
          <w:bCs/>
          <w:sz w:val="24"/>
          <w:szCs w:val="32"/>
          <w:highlight w:val="none"/>
        </w:rPr>
      </w:pPr>
    </w:p>
    <w:p>
      <w:pPr>
        <w:keepNext/>
        <w:keepLines/>
        <w:spacing w:before="156" w:beforeLines="50" w:after="156" w:afterLines="50" w:line="360" w:lineRule="auto"/>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总则</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1.1 质量要求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本合同包的质量要求：</w:t>
      </w:r>
      <w:r>
        <w:rPr>
          <w:rFonts w:hint="eastAsia" w:ascii="Times New Roman" w:hAnsi="Times New Roman" w:cs="Times New Roman"/>
          <w:szCs w:val="21"/>
          <w:highlight w:val="none"/>
        </w:rPr>
        <w:t>见供应商须知前附表。</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.1</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w:t>
      </w:r>
      <w:r>
        <w:rPr>
          <w:rFonts w:hint="eastAsia" w:ascii="Times New Roman" w:hAnsi="Times New Roman" w:cs="Times New Roman"/>
          <w:szCs w:val="21"/>
          <w:highlight w:val="none"/>
        </w:rPr>
        <w:t>2</w:t>
      </w:r>
      <w:r>
        <w:rPr>
          <w:rFonts w:ascii="Times New Roman" w:hAnsi="Times New Roman" w:cs="Times New Roman"/>
          <w:szCs w:val="21"/>
          <w:highlight w:val="none"/>
        </w:rPr>
        <w:t xml:space="preserve"> 其他</w:t>
      </w:r>
      <w:r>
        <w:rPr>
          <w:rFonts w:hint="eastAsia" w:ascii="Times New Roman" w:hAnsi="Times New Roman" w:cs="Times New Roman"/>
          <w:szCs w:val="21"/>
          <w:highlight w:val="none"/>
        </w:rPr>
        <w:t>要求：见供应商须知前附表</w:t>
      </w:r>
      <w:r>
        <w:rPr>
          <w:rFonts w:ascii="Times New Roman" w:hAnsi="Times New Roman" w:cs="Times New Roman"/>
          <w:szCs w:val="21"/>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3</w:t>
      </w:r>
      <w:r>
        <w:rPr>
          <w:rFonts w:ascii="Times New Roman" w:hAnsi="Times New Roman" w:eastAsia="黑体" w:cs="Times New Roman"/>
          <w:bCs/>
          <w:sz w:val="24"/>
          <w:szCs w:val="32"/>
          <w:highlight w:val="none"/>
        </w:rPr>
        <w:t xml:space="preserve"> 费用承担</w:t>
      </w:r>
    </w:p>
    <w:p>
      <w:pPr>
        <w:spacing w:line="440" w:lineRule="exact"/>
        <w:ind w:firstLine="420"/>
        <w:rPr>
          <w:rFonts w:hint="eastAsia" w:ascii="Times New Roman" w:hAnsi="Times New Roman" w:cs="Times New Roman"/>
          <w:szCs w:val="21"/>
          <w:highlight w:val="none"/>
        </w:rPr>
      </w:pPr>
      <w:r>
        <w:rPr>
          <w:rFonts w:hint="eastAsia" w:ascii="Times New Roman" w:hAnsi="Times New Roman" w:cs="Times New Roman"/>
          <w:szCs w:val="21"/>
          <w:highlight w:val="none"/>
        </w:rPr>
        <w:t>供应商准备和参加询比活动发生的费用自理。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highlight w:val="none"/>
        </w:rPr>
      </w:pPr>
      <w:r>
        <w:rPr>
          <w:rFonts w:ascii="Times New Roman" w:hAnsi="Times New Roman" w:cs="Times New Roman"/>
          <w:highlight w:val="none"/>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计量单位</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所有计量均采用中华人民共和国法定计量单位。</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 xml:space="preserve"> 踏勘现场</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w:t>
      </w:r>
      <w:r>
        <w:rPr>
          <w:rFonts w:hint="eastAsia" w:ascii="Times New Roman" w:hAnsi="Times New Roman" w:cs="Times New Roman"/>
          <w:highlight w:val="none"/>
        </w:rPr>
        <w:t>自行</w:t>
      </w:r>
      <w:r>
        <w:rPr>
          <w:rFonts w:ascii="Times New Roman" w:hAnsi="Times New Roman" w:cs="Times New Roman"/>
          <w:highlight w:val="none"/>
        </w:rPr>
        <w:t>踏勘现场</w:t>
      </w:r>
      <w:r>
        <w:rPr>
          <w:rFonts w:hint="eastAsia" w:ascii="Times New Roman" w:hAnsi="Times New Roman" w:cs="Times New Roman"/>
          <w:highlight w:val="none"/>
        </w:rPr>
        <w:t>且</w:t>
      </w:r>
      <w:r>
        <w:rPr>
          <w:rFonts w:ascii="Times New Roman" w:hAnsi="Times New Roman" w:cs="Times New Roman"/>
          <w:highlight w:val="none"/>
        </w:rPr>
        <w:t>费用自理。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7</w:t>
      </w:r>
      <w:r>
        <w:rPr>
          <w:rFonts w:ascii="Times New Roman" w:hAnsi="Times New Roman" w:eastAsia="黑体" w:cs="Times New Roman"/>
          <w:bCs/>
          <w:sz w:val="24"/>
          <w:szCs w:val="32"/>
          <w:highlight w:val="none"/>
        </w:rPr>
        <w:t xml:space="preserve"> 分包</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不允许分包。</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8</w:t>
      </w:r>
      <w:r>
        <w:rPr>
          <w:rFonts w:ascii="Times New Roman" w:hAnsi="Times New Roman" w:eastAsia="黑体" w:cs="Times New Roman"/>
          <w:bCs/>
          <w:sz w:val="24"/>
          <w:szCs w:val="32"/>
          <w:highlight w:val="none"/>
        </w:rPr>
        <w:t xml:space="preserve"> 偏</w:t>
      </w:r>
      <w:r>
        <w:rPr>
          <w:rFonts w:hint="eastAsia" w:ascii="Times New Roman" w:hAnsi="Times New Roman" w:eastAsia="黑体" w:cs="Times New Roman"/>
          <w:bCs/>
          <w:sz w:val="24"/>
          <w:szCs w:val="32"/>
          <w:highlight w:val="none"/>
        </w:rPr>
        <w:t>差</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偏差包括重大偏差和细微偏差。</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.2 响应文件存在“评审办法”中所列任一否决</w:t>
      </w:r>
      <w:r>
        <w:rPr>
          <w:rFonts w:hint="eastAsia" w:ascii="Times New Roman" w:hAnsi="Times New Roman" w:cs="Times New Roman"/>
          <w:highlight w:val="none"/>
        </w:rPr>
        <w:t>响应文件</w:t>
      </w:r>
      <w:r>
        <w:rPr>
          <w:rFonts w:ascii="Times New Roman" w:hAnsi="Times New Roman" w:cs="Times New Roman"/>
          <w:highlight w:val="none"/>
        </w:rPr>
        <w:t>情形的，均属于存在重大偏差</w:t>
      </w:r>
      <w:r>
        <w:rPr>
          <w:rFonts w:hint="eastAsia" w:ascii="Times New Roman" w:hAnsi="Times New Roman" w:cs="Times New Roman"/>
          <w:highlight w:val="none"/>
        </w:rPr>
        <w:t>，响应文件将被否决</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 询比文件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2.1 询比文件的组成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本询比文件包括：</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pPr>
        <w:spacing w:line="440" w:lineRule="exact"/>
        <w:ind w:firstLine="420"/>
        <w:rPr>
          <w:rFonts w:hint="eastAsia" w:ascii="Times New Roman" w:hAnsi="Times New Roman" w:eastAsia="宋体" w:cs="Times New Roman"/>
          <w:highlight w:val="none"/>
          <w:lang w:eastAsia="zh-CN"/>
        </w:rPr>
      </w:pPr>
      <w:r>
        <w:rPr>
          <w:rFonts w:ascii="Times New Roman" w:hAnsi="Times New Roman" w:cs="Times New Roman"/>
          <w:highlight w:val="none"/>
        </w:rPr>
        <w:t>（4）合同内容</w:t>
      </w:r>
      <w:r>
        <w:rPr>
          <w:rFonts w:hint="eastAsia" w:ascii="Times New Roman" w:hAnsi="Times New Roman" w:eastAsia="宋体" w:cs="Times New Roman"/>
          <w:highlight w:val="none"/>
          <w:lang w:eastAsia="zh-CN"/>
        </w:rPr>
        <w:t>；</w:t>
      </w:r>
    </w:p>
    <w:p>
      <w:pPr>
        <w:spacing w:line="440" w:lineRule="exact"/>
        <w:ind w:firstLine="420"/>
        <w:rPr>
          <w:rFonts w:ascii="Times New Roman" w:hAnsi="Times New Roman"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供货要求</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6</w:t>
      </w:r>
      <w:r>
        <w:rPr>
          <w:rFonts w:ascii="Times New Roman" w:hAnsi="Times New Roman" w:cs="Times New Roman"/>
          <w:highlight w:val="none"/>
        </w:rPr>
        <w:t>）采购需求及清单；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7</w:t>
      </w:r>
      <w:r>
        <w:rPr>
          <w:rFonts w:ascii="Times New Roman" w:hAnsi="Times New Roman" w:cs="Times New Roman"/>
          <w:highlight w:val="none"/>
        </w:rPr>
        <w:t>）响应文件格式</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根据本章对询比文件所作的澄清、修改，构成询比文件的组成部分。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2.2 询比文件的澄清</w:t>
      </w:r>
      <w:r>
        <w:rPr>
          <w:rFonts w:hint="eastAsia" w:ascii="Times New Roman" w:hAnsi="Times New Roman" w:eastAsia="黑体" w:cs="Times New Roman"/>
          <w:bCs/>
          <w:sz w:val="24"/>
          <w:szCs w:val="32"/>
          <w:highlight w:val="none"/>
        </w:rPr>
        <w:t>与修改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2.2.1</w:t>
      </w:r>
      <w:r>
        <w:rPr>
          <w:rFonts w:hint="eastAsia" w:ascii="Times New Roman" w:hAnsi="Times New Roman" w:cs="Times New Roman"/>
          <w:highlight w:val="none"/>
        </w:rPr>
        <w:t xml:space="preserve"> </w:t>
      </w:r>
      <w:r>
        <w:rPr>
          <w:rFonts w:ascii="Times New Roman" w:hAnsi="Times New Roman" w:cs="Times New Roman"/>
          <w:highlight w:val="none"/>
        </w:rPr>
        <w:t>供应商如有疑问，应在递交</w:t>
      </w:r>
      <w:r>
        <w:rPr>
          <w:rFonts w:hint="eastAsia" w:ascii="Times New Roman" w:hAnsi="Times New Roman" w:cs="Times New Roman"/>
          <w:highlight w:val="none"/>
        </w:rPr>
        <w:t>响应</w:t>
      </w:r>
      <w:r>
        <w:rPr>
          <w:rFonts w:ascii="Times New Roman" w:hAnsi="Times New Roman" w:cs="Times New Roman"/>
          <w:highlight w:val="none"/>
        </w:rPr>
        <w:t>文件的截止时间</w:t>
      </w:r>
      <w:r>
        <w:rPr>
          <w:rFonts w:hint="eastAsia" w:ascii="Times New Roman" w:hAnsi="Times New Roman" w:cs="Times New Roman"/>
          <w:highlight w:val="none"/>
        </w:rPr>
        <w:t>前3日</w:t>
      </w:r>
      <w:r>
        <w:rPr>
          <w:rFonts w:ascii="Times New Roman" w:hAnsi="Times New Roman" w:cs="Times New Roman"/>
          <w:highlight w:val="none"/>
        </w:rPr>
        <w:t>前</w:t>
      </w:r>
      <w:r>
        <w:rPr>
          <w:rFonts w:hint="eastAsia" w:ascii="Times New Roman" w:hAnsi="Times New Roman" w:cs="Times New Roman"/>
          <w:highlight w:val="none"/>
        </w:rPr>
        <w:t>通过</w:t>
      </w:r>
      <w:r>
        <w:rPr>
          <w:rFonts w:hint="eastAsia" w:ascii="Times New Roman" w:hAnsi="Times New Roman" w:cs="Times New Roman"/>
          <w:highlight w:val="none"/>
          <w:lang w:eastAsia="zh-CN"/>
        </w:rPr>
        <w:t>“安徽交控建设工程集团有限公司</w:t>
      </w:r>
      <w:r>
        <w:rPr>
          <w:rFonts w:hint="eastAsia" w:ascii="Times New Roman" w:hAnsi="Times New Roman" w:cs="Times New Roman"/>
          <w:highlight w:val="none"/>
          <w:lang w:val="en-US" w:eastAsia="zh-CN"/>
        </w:rPr>
        <w:t>”官网平台联系采购人</w:t>
      </w:r>
      <w:r>
        <w:rPr>
          <w:rFonts w:ascii="Times New Roman" w:hAnsi="Times New Roman" w:cs="Times New Roman"/>
          <w:highlight w:val="none"/>
        </w:rPr>
        <w:t>对询比文件予以澄清</w:t>
      </w:r>
      <w:r>
        <w:rPr>
          <w:rFonts w:hint="eastAsia" w:ascii="Times New Roman" w:hAnsi="Times New Roman" w:cs="Times New Roman"/>
          <w:highlight w:val="none"/>
        </w:rPr>
        <w:t>或修改</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w:t>
      </w:r>
      <w:r>
        <w:rPr>
          <w:rFonts w:hint="eastAsia" w:ascii="Times New Roman" w:hAnsi="Times New Roman" w:cs="Times New Roman"/>
          <w:highlight w:val="none"/>
        </w:rPr>
        <w:t>2</w:t>
      </w:r>
      <w:r>
        <w:rPr>
          <w:rFonts w:ascii="Times New Roman" w:hAnsi="Times New Roman" w:cs="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highlight w:val="none"/>
        </w:rPr>
        <w:t>或修改</w:t>
      </w:r>
      <w:r>
        <w:rPr>
          <w:rFonts w:ascii="Times New Roman" w:hAnsi="Times New Roman" w:cs="Times New Roman"/>
          <w:highlight w:val="none"/>
        </w:rPr>
        <w:t>要求。</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 响应文件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3.1响应文件的组成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3.2 报价要求 </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3.2.1 报价应包括国家规定的增值税税金。</w:t>
      </w:r>
    </w:p>
    <w:p>
      <w:pPr>
        <w:spacing w:line="440" w:lineRule="exact"/>
        <w:ind w:firstLine="420"/>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rPr>
        <w:t xml:space="preserve">3.2.2 </w:t>
      </w:r>
      <w:r>
        <w:rPr>
          <w:rFonts w:ascii="Times New Roman" w:hAnsi="Times New Roman" w:cs="Times New Roman"/>
          <w:highlight w:val="none"/>
        </w:rPr>
        <w:t>供应商应按第六章“响应文件格式”的要求在报价函中进行报价并填写工程量清单相应表格</w:t>
      </w:r>
      <w:r>
        <w:rPr>
          <w:rFonts w:hint="eastAsia" w:ascii="Times New Roman" w:hAnsi="Times New Roman" w:cs="Times New Roman"/>
          <w:highlight w:val="none"/>
          <w:lang w:val="en-US" w:eastAsia="zh-C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3</w:t>
      </w:r>
      <w:r>
        <w:rPr>
          <w:rFonts w:ascii="Times New Roman" w:hAnsi="Times New Roman" w:cs="Times New Roman"/>
          <w:highlight w:val="none"/>
        </w:rPr>
        <w:t xml:space="preserve"> 采购人设有最高限价的，供应商的报价不得超过最高限价，</w:t>
      </w:r>
      <w:r>
        <w:rPr>
          <w:rFonts w:hint="eastAsia" w:ascii="Times New Roman" w:hAnsi="Times New Roman" w:cs="Times New Roman"/>
          <w:highlight w:val="none"/>
        </w:rPr>
        <w:t>否则其报价将被否决，</w:t>
      </w:r>
      <w:r>
        <w:rPr>
          <w:rFonts w:ascii="Times New Roman" w:hAnsi="Times New Roman" w:cs="Times New Roman"/>
          <w:highlight w:val="none"/>
        </w:rPr>
        <w:t>最高限价</w:t>
      </w:r>
      <w:r>
        <w:rPr>
          <w:rFonts w:hint="eastAsia" w:ascii="Times New Roman" w:hAnsi="Times New Roman" w:cs="Times New Roman"/>
          <w:highlight w:val="none"/>
        </w:rPr>
        <w:t>见第一章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3.2.4</w:t>
      </w:r>
      <w:r>
        <w:rPr>
          <w:rFonts w:ascii="Times New Roman" w:hAnsi="Times New Roman" w:cs="Times New Roman"/>
          <w:highlight w:val="none"/>
        </w:rPr>
        <w:t>本项目的报价方式</w:t>
      </w:r>
      <w:r>
        <w:rPr>
          <w:rFonts w:hint="eastAsia" w:ascii="Times New Roman" w:hAnsi="Times New Roman" w:cs="Times New Roman"/>
          <w:highlight w:val="none"/>
        </w:rPr>
        <w:t>为</w:t>
      </w:r>
      <w:r>
        <w:rPr>
          <w:rFonts w:hint="eastAsia" w:ascii="Times New Roman" w:hAnsi="Times New Roman" w:cs="Times New Roman"/>
          <w:highlight w:val="none"/>
          <w:u w:val="single"/>
        </w:rPr>
        <w:t xml:space="preserve">  见供应商须知前附表  </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5</w:t>
      </w:r>
      <w:r>
        <w:rPr>
          <w:rFonts w:ascii="Times New Roman" w:hAnsi="Times New Roman" w:cs="Times New Roman"/>
          <w:highlight w:val="none"/>
        </w:rPr>
        <w:t xml:space="preserve"> 报价的其他要求</w:t>
      </w:r>
      <w:r>
        <w:rPr>
          <w:rFonts w:hint="eastAsia" w:ascii="Times New Roman" w:hAnsi="Times New Roman" w:cs="Times New Roman"/>
          <w:highlight w:val="none"/>
        </w:rPr>
        <w:t>：</w:t>
      </w:r>
      <w:r>
        <w:rPr>
          <w:rFonts w:hint="eastAsia" w:ascii="Times New Roman" w:hAnsi="Times New Roman" w:cs="Times New Roman"/>
          <w:szCs w:val="21"/>
          <w:highlight w:val="none"/>
        </w:rPr>
        <w:t>见供应商须知前附表</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3.3响应有效期</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3.3.1 响应有效期为</w:t>
      </w:r>
      <w:r>
        <w:rPr>
          <w:rFonts w:ascii="Times New Roman" w:hAnsi="Times New Roman" w:eastAsia="宋体" w:cs="Times New Roman"/>
          <w:szCs w:val="21"/>
          <w:highlight w:val="none"/>
        </w:rPr>
        <w:t>自供应商递交响应文件截止之日起计算</w:t>
      </w: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0</w:t>
      </w:r>
      <w:r>
        <w:rPr>
          <w:rFonts w:ascii="Times New Roman" w:hAnsi="Times New Roman" w:cs="Times New Roman"/>
          <w:highlight w:val="none"/>
        </w:rPr>
        <w:t>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3.4响应保证金</w:t>
      </w:r>
    </w:p>
    <w:p>
      <w:pPr>
        <w:spacing w:line="440" w:lineRule="exact"/>
        <w:ind w:firstLine="420"/>
        <w:rPr>
          <w:rFonts w:ascii="Times New Roman" w:hAnsi="Times New Roman"/>
          <w:highlight w:val="none"/>
        </w:rPr>
      </w:pPr>
      <w:r>
        <w:rPr>
          <w:rFonts w:ascii="Times New Roman" w:hAnsi="Times New Roman" w:cs="Times New Roman"/>
          <w:highlight w:val="none"/>
        </w:rPr>
        <w:t>3.4.1 供应商在递交响应文件的同时，应按</w:t>
      </w:r>
      <w:r>
        <w:rPr>
          <w:rFonts w:hint="eastAsia" w:ascii="Times New Roman" w:hAnsi="Times New Roman" w:cs="Times New Roman"/>
          <w:highlight w:val="none"/>
        </w:rPr>
        <w:t>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highlight w:val="none"/>
        </w:rPr>
        <w:t>的要求</w:t>
      </w:r>
      <w:r>
        <w:rPr>
          <w:rFonts w:ascii="Times New Roman" w:hAnsi="Times New Roman" w:cs="Times New Roman"/>
          <w:highlight w:val="none"/>
        </w:rPr>
        <w:t>递交响应保证金，并作为其响应文件的组成部分。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无论采取何种形式的响应保证金，响应保证金有效期均应与响应有效期一致。</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3.4.2 供应商不按本章第3.4.1项要求提交响应保证金的，</w:t>
      </w:r>
      <w:r>
        <w:rPr>
          <w:rFonts w:hint="eastAsia" w:ascii="Times New Roman" w:hAnsi="Times New Roman" w:cs="Times New Roman"/>
          <w:highlight w:val="none"/>
        </w:rPr>
        <w:t>评审小组</w:t>
      </w:r>
      <w:r>
        <w:rPr>
          <w:rFonts w:ascii="Times New Roman" w:hAnsi="Times New Roman" w:cs="Times New Roman"/>
          <w:highlight w:val="none"/>
        </w:rPr>
        <w:t>将否决其</w:t>
      </w:r>
      <w:r>
        <w:rPr>
          <w:rFonts w:hint="eastAsia" w:ascii="Times New Roman" w:hAnsi="Times New Roman" w:cs="Times New Roman"/>
          <w:highlight w:val="none"/>
        </w:rPr>
        <w:t>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（1）供应商在规定的响应有效期内撤销其响应文件；</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szCs w:val="21"/>
          <w:highlight w:val="none"/>
        </w:rPr>
        <w:t>供应商须知前附表规定的</w:t>
      </w:r>
      <w:r>
        <w:rPr>
          <w:rFonts w:ascii="Times New Roman" w:hAnsi="Times New Roman" w:cs="Times New Roman"/>
          <w:szCs w:val="21"/>
          <w:highlight w:val="none"/>
        </w:rPr>
        <w:t>其他情形</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3.5资格审查资料</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供应商应按“响应文件格式”</w:t>
      </w:r>
      <w:r>
        <w:rPr>
          <w:rFonts w:hint="eastAsia" w:ascii="Times New Roman" w:hAnsi="Times New Roman" w:cs="Times New Roman"/>
          <w:highlight w:val="none"/>
        </w:rPr>
        <w:t>的</w:t>
      </w:r>
      <w:r>
        <w:rPr>
          <w:rFonts w:ascii="Times New Roman" w:hAnsi="Times New Roman" w:cs="Times New Roman"/>
          <w:highlight w:val="none"/>
        </w:rPr>
        <w:t>规定提供资格审查资料，以证明其满足本章第1.</w:t>
      </w:r>
      <w:r>
        <w:rPr>
          <w:rFonts w:hint="eastAsia" w:ascii="Times New Roman" w:hAnsi="Times New Roman" w:cs="Times New Roman"/>
          <w:highlight w:val="none"/>
        </w:rPr>
        <w:t>2</w:t>
      </w:r>
      <w:r>
        <w:rPr>
          <w:rFonts w:ascii="Times New Roman" w:hAnsi="Times New Roman" w:cs="Times New Roman"/>
          <w:highlight w:val="none"/>
        </w:rPr>
        <w:t>款规定的资质、</w:t>
      </w:r>
      <w:r>
        <w:rPr>
          <w:rFonts w:hint="eastAsia" w:ascii="Times New Roman" w:hAnsi="Times New Roman" w:cs="Times New Roman"/>
          <w:highlight w:val="none"/>
        </w:rPr>
        <w:t>能力、</w:t>
      </w:r>
      <w:r>
        <w:rPr>
          <w:rFonts w:ascii="Times New Roman" w:hAnsi="Times New Roman" w:cs="Times New Roman"/>
          <w:highlight w:val="none"/>
        </w:rPr>
        <w:t>信誉等要求。</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响应文件的编制</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响应文件应按“响应文件格式”进行编写，如有必要，可以增加附页，作为响应文件的组成部分。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.2 响应文件应当对询比文件有关工期、响应有效期、质量要求、技术标准和要求、</w:t>
      </w:r>
      <w:r>
        <w:rPr>
          <w:rFonts w:hint="eastAsia" w:ascii="Times New Roman" w:hAnsi="Times New Roman" w:cs="Times New Roman"/>
          <w:highlight w:val="none"/>
        </w:rPr>
        <w:t>采购范围</w:t>
      </w:r>
      <w:r>
        <w:rPr>
          <w:rFonts w:ascii="Times New Roman" w:hAnsi="Times New Roman" w:cs="Times New Roman"/>
          <w:highlight w:val="none"/>
        </w:rPr>
        <w:t>等实质性内容作出响应。</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.3响应文件的制作应满足以下规定：</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响应</w:t>
      </w:r>
      <w:r>
        <w:rPr>
          <w:rFonts w:ascii="Times New Roman" w:hAnsi="Times New Roman" w:cs="Times New Roman"/>
          <w:highlight w:val="none"/>
        </w:rPr>
        <w:t>文件应用不褪色的材料书写或打印，并按第六章“</w:t>
      </w:r>
      <w:r>
        <w:rPr>
          <w:rFonts w:hint="eastAsia" w:ascii="Times New Roman" w:hAnsi="Times New Roman" w:cs="Times New Roman"/>
          <w:highlight w:val="none"/>
        </w:rPr>
        <w:t>响应文件</w:t>
      </w:r>
      <w:r>
        <w:rPr>
          <w:rFonts w:ascii="Times New Roman" w:hAnsi="Times New Roman" w:cs="Times New Roman"/>
          <w:highlight w:val="none"/>
        </w:rPr>
        <w:t>格式”的要求进行</w:t>
      </w:r>
      <w:r>
        <w:rPr>
          <w:rFonts w:hint="eastAsia" w:ascii="Times New Roman" w:hAnsi="Times New Roman" w:cs="Times New Roman"/>
          <w:highlight w:val="none"/>
        </w:rPr>
        <w:t>签名</w:t>
      </w:r>
      <w:r>
        <w:rPr>
          <w:rFonts w:ascii="Times New Roman" w:hAnsi="Times New Roman" w:cs="Times New Roman"/>
          <w:highlight w:val="none"/>
        </w:rPr>
        <w:t>和（或）盖章。</w:t>
      </w:r>
      <w:r>
        <w:rPr>
          <w:rFonts w:hint="eastAsia" w:ascii="Times New Roman" w:hAnsi="Times New Roman" w:cs="Times New Roman"/>
          <w:highlight w:val="none"/>
        </w:rPr>
        <w:t>响应</w:t>
      </w:r>
      <w:r>
        <w:rPr>
          <w:rFonts w:ascii="Times New Roman" w:hAnsi="Times New Roman" w:cs="Times New Roman"/>
          <w:highlight w:val="none"/>
        </w:rPr>
        <w:t>文件应尽量避免涂改、行间插字或删除。如果出现上述情况，改动之处应由</w:t>
      </w:r>
      <w:r>
        <w:rPr>
          <w:rFonts w:hint="eastAsia" w:ascii="Times New Roman" w:hAnsi="Times New Roman" w:cs="Times New Roman"/>
          <w:highlight w:val="none"/>
        </w:rPr>
        <w:t>供应商</w:t>
      </w:r>
      <w:r>
        <w:rPr>
          <w:rFonts w:ascii="Times New Roman" w:hAnsi="Times New Roman" w:cs="Times New Roman"/>
          <w:highlight w:val="none"/>
        </w:rPr>
        <w:t>的法定代表人或其授权的代理人</w:t>
      </w:r>
      <w:r>
        <w:rPr>
          <w:rFonts w:hint="eastAsia" w:ascii="Times New Roman" w:hAnsi="Times New Roman" w:cs="Times New Roman"/>
          <w:highlight w:val="none"/>
        </w:rPr>
        <w:t>签名</w:t>
      </w:r>
      <w:r>
        <w:rPr>
          <w:rFonts w:ascii="Times New Roman" w:hAnsi="Times New Roman" w:cs="Times New Roman"/>
          <w:highlight w:val="none"/>
        </w:rPr>
        <w:t>或盖单位章。</w:t>
      </w:r>
    </w:p>
    <w:p>
      <w:pPr>
        <w:spacing w:line="440" w:lineRule="exact"/>
        <w:ind w:firstLine="420"/>
        <w:rPr>
          <w:rFonts w:hint="default" w:ascii="Times New Roman" w:hAnsi="Times New Roman" w:cs="Times New Roman" w:eastAsiaTheme="minorEastAsia"/>
          <w:highlight w:val="none"/>
          <w:lang w:val="en-US"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 响应文件的递交</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4.1响应文件的密封和标记</w:t>
      </w:r>
    </w:p>
    <w:p>
      <w:pPr>
        <w:spacing w:line="440" w:lineRule="exact"/>
        <w:ind w:firstLine="420"/>
        <w:rPr>
          <w:rFonts w:hint="eastAsia" w:ascii="Times New Roman" w:hAnsi="Times New Roman" w:cs="Times New Roman"/>
          <w:highlight w:val="none"/>
          <w:lang w:val="en-US" w:eastAsia="zh-CN"/>
        </w:rPr>
      </w:pPr>
      <w:r>
        <w:rPr>
          <w:rFonts w:ascii="Times New Roman" w:hAnsi="Times New Roman" w:cs="Times New Roman"/>
          <w:highlight w:val="none"/>
        </w:rPr>
        <w:t>4.1.1响应文件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w:t>
      </w:r>
      <w:r>
        <w:rPr>
          <w:rFonts w:hint="eastAsia" w:ascii="Times New Roman" w:hAnsi="Times New Roman" w:cs="Times New Roman"/>
          <w:highlight w:val="none"/>
          <w:lang w:val="en-US" w:eastAsia="zh-CN"/>
        </w:rPr>
        <w:t>开密封。</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val="en-US" w:eastAsia="zh-CN"/>
        </w:rPr>
        <w:t>响应文件</w:t>
      </w:r>
      <w:r>
        <w:rPr>
          <w:rFonts w:hint="eastAsia" w:ascii="Times New Roman" w:hAnsi="Times New Roman" w:cs="Times New Roman"/>
          <w:highlight w:val="none"/>
        </w:rPr>
        <w:t>封套上注明：</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single"/>
          <w:lang w:val="en-US" w:eastAsia="zh-CN"/>
        </w:rPr>
        <w:t xml:space="preserve">    </w:t>
      </w:r>
      <w:r>
        <w:rPr>
          <w:rFonts w:hint="eastAsia" w:ascii="Times New Roman" w:hAnsi="Times New Roman" w:eastAsia="黑体" w:cs="黑体"/>
          <w:bCs/>
          <w:snapToGrid w:val="0"/>
          <w:kern w:val="0"/>
          <w:szCs w:val="21"/>
          <w:highlight w:val="none"/>
          <w:lang w:val="en-US" w:eastAsia="zh-CN"/>
        </w:rPr>
        <w:t>包</w:t>
      </w:r>
      <w:r>
        <w:rPr>
          <w:rFonts w:hint="eastAsia" w:ascii="Times New Roman" w:hAnsi="Times New Roman" w:eastAsia="黑体" w:cs="黑体"/>
          <w:bCs/>
          <w:snapToGrid w:val="0"/>
          <w:kern w:val="0"/>
          <w:szCs w:val="21"/>
          <w:highlight w:val="none"/>
        </w:rPr>
        <w:t>响应文件</w:t>
      </w:r>
    </w:p>
    <w:p>
      <w:pPr>
        <w:spacing w:line="440" w:lineRule="exact"/>
        <w:ind w:firstLine="420"/>
        <w:rPr>
          <w:rFonts w:hint="eastAsia"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分（递交响应文件的截止时间）前不得开启</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4.1.2</w:t>
      </w:r>
      <w:r>
        <w:rPr>
          <w:rFonts w:ascii="Times New Roman" w:hAnsi="Times New Roman"/>
          <w:highlight w:val="none"/>
        </w:rPr>
        <w:t>未按本章第4.1.1项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4.2 响应文件的递交</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szCs w:val="21"/>
          <w:highlight w:val="none"/>
        </w:rPr>
        <w:t>的规定递交响应文件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 启封</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5.1 启封时间和地点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采购人在本章第4.2.1项规定的响应文件递交截止时间（启封时间），</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szCs w:val="21"/>
          <w:highlight w:val="none"/>
        </w:rPr>
        <w:t>的规定进行启封</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5.2</w:t>
      </w:r>
      <w:r>
        <w:rPr>
          <w:rFonts w:hint="eastAsia" w:ascii="Times New Roman" w:hAnsi="Times New Roman" w:eastAsia="黑体" w:cs="Times New Roman"/>
          <w:bCs/>
          <w:sz w:val="24"/>
          <w:szCs w:val="32"/>
          <w:highlight w:val="none"/>
        </w:rPr>
        <w:t>启封</w:t>
      </w:r>
      <w:r>
        <w:rPr>
          <w:rFonts w:ascii="Times New Roman" w:hAnsi="Times New Roman" w:eastAsia="黑体" w:cs="Times New Roman"/>
          <w:bCs/>
          <w:sz w:val="24"/>
          <w:szCs w:val="32"/>
          <w:highlight w:val="none"/>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（1）公布在响应文件递交截止时间</w:t>
      </w:r>
      <w:r>
        <w:rPr>
          <w:rFonts w:hint="eastAsia" w:ascii="Times New Roman" w:hAnsi="Times New Roman" w:cs="Times New Roman"/>
          <w:highlight w:val="none"/>
        </w:rPr>
        <w:t>前</w:t>
      </w:r>
      <w:r>
        <w:rPr>
          <w:rFonts w:ascii="Times New Roman" w:hAnsi="Times New Roman" w:cs="Times New Roman"/>
          <w:highlight w:val="none"/>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highlight w:val="none"/>
        </w:rPr>
      </w:pPr>
      <w:r>
        <w:rPr>
          <w:rFonts w:ascii="Times New Roman" w:hAnsi="Times New Roman" w:cs="Times New Roman"/>
          <w:highlight w:val="none"/>
        </w:rPr>
        <w:t>（3）</w:t>
      </w:r>
      <w:r>
        <w:rPr>
          <w:rFonts w:hint="eastAsia" w:ascii="Times New Roman" w:hAnsi="Times New Roman" w:cs="Times New Roman"/>
          <w:bCs/>
          <w:highlight w:val="none"/>
          <w:lang w:val="en-US" w:eastAsia="zh-CN"/>
        </w:rPr>
        <w:t>开启商务技术文件</w:t>
      </w:r>
      <w:r>
        <w:rPr>
          <w:rFonts w:ascii="Times New Roman" w:hAnsi="Times New Roman" w:cs="Times New Roman"/>
          <w:bCs/>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highlight w:val="none"/>
          <w:lang w:val="en-US" w:eastAsia="zh-CN"/>
        </w:rPr>
      </w:pPr>
      <w:r>
        <w:rPr>
          <w:rFonts w:ascii="Times New Roman" w:hAnsi="Times New Roman" w:cs="Times New Roman"/>
          <w:bCs/>
          <w:highlight w:val="none"/>
        </w:rPr>
        <w:t>（</w:t>
      </w:r>
      <w:r>
        <w:rPr>
          <w:rFonts w:hint="eastAsia" w:ascii="Times New Roman" w:hAnsi="Times New Roman" w:cs="Times New Roman"/>
          <w:bCs/>
          <w:highlight w:val="none"/>
        </w:rPr>
        <w:t>4</w:t>
      </w:r>
      <w:r>
        <w:rPr>
          <w:rFonts w:ascii="Times New Roman" w:hAnsi="Times New Roman" w:cs="Times New Roman"/>
          <w:bCs/>
          <w:highlight w:val="none"/>
        </w:rPr>
        <w:t>）</w:t>
      </w:r>
      <w:r>
        <w:rPr>
          <w:rFonts w:hint="eastAsia" w:ascii="Times New Roman" w:hAnsi="Times New Roman" w:cs="Times New Roman"/>
          <w:bCs/>
          <w:highlight w:val="none"/>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5</w:t>
      </w:r>
      <w:r>
        <w:rPr>
          <w:rFonts w:ascii="Times New Roman" w:hAnsi="Times New Roman" w:cs="Times New Roman"/>
          <w:bCs/>
          <w:highlight w:val="none"/>
        </w:rPr>
        <w:t>）</w:t>
      </w:r>
      <w:r>
        <w:rPr>
          <w:rFonts w:hint="eastAsia" w:ascii="Times New Roman" w:hAnsi="Times New Roman" w:cs="Times New Roman"/>
          <w:bCs/>
          <w:highlight w:val="none"/>
        </w:rPr>
        <w:t>启封</w:t>
      </w:r>
      <w:r>
        <w:rPr>
          <w:rFonts w:ascii="Times New Roman" w:hAnsi="Times New Roman" w:cs="Times New Roman"/>
          <w:highlight w:val="none"/>
        </w:rPr>
        <w:t>结束</w:t>
      </w:r>
      <w:r>
        <w:rPr>
          <w:rFonts w:ascii="Times New Roman" w:hAnsi="Times New Roman" w:cs="Times New Roman"/>
          <w:bCs/>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bCs/>
          <w:highlight w:val="none"/>
        </w:rPr>
        <w:t>5.2.2</w:t>
      </w:r>
      <w:r>
        <w:rPr>
          <w:rFonts w:ascii="Times New Roman" w:hAnsi="Times New Roman" w:cs="Times New Roman"/>
          <w:highlight w:val="none"/>
        </w:rPr>
        <w:t>供应商</w:t>
      </w:r>
      <w:r>
        <w:rPr>
          <w:rFonts w:hint="eastAsia" w:ascii="Times New Roman" w:hAnsi="Times New Roman" w:cs="Times New Roman"/>
          <w:highlight w:val="none"/>
        </w:rPr>
        <w:t>在</w:t>
      </w:r>
      <w:r>
        <w:rPr>
          <w:rFonts w:ascii="Times New Roman" w:hAnsi="Times New Roman" w:cs="Times New Roman"/>
          <w:highlight w:val="none"/>
        </w:rPr>
        <w:t>启封过程</w:t>
      </w:r>
      <w:r>
        <w:rPr>
          <w:rFonts w:hint="eastAsia" w:ascii="Times New Roman" w:hAnsi="Times New Roman" w:cs="Times New Roman"/>
          <w:highlight w:val="none"/>
        </w:rPr>
        <w:t>中</w:t>
      </w:r>
      <w:r>
        <w:rPr>
          <w:rFonts w:ascii="Times New Roman" w:hAnsi="Times New Roman" w:cs="Times New Roman"/>
          <w:highlight w:val="none"/>
        </w:rPr>
        <w:t>有</w:t>
      </w:r>
      <w:r>
        <w:rPr>
          <w:rFonts w:hint="eastAsia" w:ascii="Times New Roman" w:hAnsi="Times New Roman" w:cs="Times New Roman"/>
          <w:highlight w:val="none"/>
        </w:rPr>
        <w:t>疑问</w:t>
      </w:r>
      <w:r>
        <w:rPr>
          <w:rFonts w:ascii="Times New Roman" w:hAnsi="Times New Roman" w:cs="Times New Roman"/>
          <w:highlight w:val="none"/>
        </w:rPr>
        <w:t>的，应当在</w:t>
      </w:r>
      <w:r>
        <w:rPr>
          <w:rFonts w:hint="eastAsia" w:ascii="Times New Roman" w:hAnsi="Times New Roman" w:cs="Times New Roman"/>
          <w:highlight w:val="none"/>
        </w:rPr>
        <w:t>现场</w:t>
      </w:r>
      <w:r>
        <w:rPr>
          <w:rFonts w:ascii="Times New Roman" w:hAnsi="Times New Roman" w:cs="Times New Roman"/>
          <w:highlight w:val="none"/>
        </w:rPr>
        <w:t>提出</w:t>
      </w:r>
      <w:r>
        <w:rPr>
          <w:rFonts w:hint="eastAsia" w:ascii="Times New Roman" w:hAnsi="Times New Roman" w:cs="Times New Roman"/>
          <w:highlight w:val="none"/>
        </w:rPr>
        <w:t>，</w:t>
      </w:r>
      <w:r>
        <w:rPr>
          <w:rFonts w:ascii="Times New Roman" w:hAnsi="Times New Roman" w:cs="Times New Roman"/>
          <w:highlight w:val="none"/>
        </w:rPr>
        <w:t>采购人</w:t>
      </w:r>
      <w:r>
        <w:rPr>
          <w:rFonts w:hint="eastAsia" w:ascii="Times New Roman" w:hAnsi="Times New Roman" w:cs="Times New Roman"/>
          <w:highlight w:val="none"/>
        </w:rPr>
        <w:t>将</w:t>
      </w:r>
      <w:r>
        <w:rPr>
          <w:rFonts w:ascii="Times New Roman" w:hAnsi="Times New Roman" w:cs="Times New Roman"/>
          <w:highlight w:val="none"/>
        </w:rPr>
        <w:t>当场作出答复。</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 评审</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6.1</w:t>
      </w:r>
      <w:r>
        <w:rPr>
          <w:rFonts w:hint="eastAsia" w:ascii="Times New Roman" w:hAnsi="Times New Roman" w:eastAsia="黑体" w:cs="Times New Roman"/>
          <w:bCs/>
          <w:sz w:val="24"/>
          <w:szCs w:val="32"/>
          <w:highlight w:val="none"/>
        </w:rPr>
        <w:t>评审小组</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评审由采购人</w:t>
      </w:r>
      <w:r>
        <w:rPr>
          <w:rFonts w:hint="eastAsia" w:ascii="Times New Roman" w:hAnsi="Times New Roman" w:cs="Times New Roman"/>
          <w:highlight w:val="none"/>
        </w:rPr>
        <w:t>自行</w:t>
      </w:r>
      <w:r>
        <w:rPr>
          <w:rFonts w:ascii="Times New Roman" w:hAnsi="Times New Roman" w:cs="Times New Roman"/>
          <w:highlight w:val="none"/>
        </w:rPr>
        <w:t>组建的</w:t>
      </w:r>
      <w:r>
        <w:rPr>
          <w:rFonts w:hint="eastAsia" w:ascii="Times New Roman" w:hAnsi="Times New Roman" w:cs="Times New Roman"/>
          <w:highlight w:val="none"/>
        </w:rPr>
        <w:t>评审小组</w:t>
      </w:r>
      <w:r>
        <w:rPr>
          <w:rFonts w:ascii="Times New Roman" w:hAnsi="Times New Roman" w:cs="Times New Roman"/>
          <w:highlight w:val="none"/>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.1</w:t>
      </w:r>
      <w:r>
        <w:rPr>
          <w:rFonts w:hint="eastAsia" w:ascii="Times New Roman" w:hAnsi="Times New Roman" w:cs="Times New Roman"/>
          <w:highlight w:val="none"/>
        </w:rPr>
        <w:t>评审小组</w:t>
      </w:r>
      <w:r>
        <w:rPr>
          <w:rFonts w:ascii="Times New Roman" w:hAnsi="Times New Roman" w:cs="Times New Roman"/>
          <w:highlight w:val="none"/>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.2评审完成后，</w:t>
      </w:r>
      <w:r>
        <w:rPr>
          <w:rFonts w:hint="eastAsia" w:ascii="Times New Roman" w:hAnsi="Times New Roman" w:cs="Times New Roman"/>
          <w:highlight w:val="none"/>
        </w:rPr>
        <w:t>评审小组</w:t>
      </w:r>
      <w:r>
        <w:rPr>
          <w:rFonts w:ascii="Times New Roman" w:hAnsi="Times New Roman" w:cs="Times New Roman"/>
          <w:highlight w:val="none"/>
        </w:rPr>
        <w:t>应向采购人提交书面评审报告和成交候选人名单。</w:t>
      </w:r>
      <w:r>
        <w:rPr>
          <w:rFonts w:hint="eastAsia" w:ascii="Times New Roman" w:hAnsi="Times New Roman" w:cs="Times New Roman"/>
          <w:highlight w:val="none"/>
        </w:rPr>
        <w:t>评审小组</w:t>
      </w:r>
      <w:r>
        <w:rPr>
          <w:rFonts w:ascii="Times New Roman" w:hAnsi="Times New Roman" w:cs="Times New Roman"/>
          <w:highlight w:val="none"/>
        </w:rPr>
        <w:t>推荐成交候选人的人数</w:t>
      </w:r>
      <w:r>
        <w:rPr>
          <w:rFonts w:hint="eastAsia" w:ascii="Times New Roman" w:hAnsi="Times New Roman" w:cs="Times New Roman"/>
          <w:highlight w:val="none"/>
        </w:rPr>
        <w:t>为：3人（如不足3人，可以按实际数量推荐）</w:t>
      </w:r>
      <w:r>
        <w:rPr>
          <w:rFonts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ascii="Times New Roman" w:hAnsi="Times New Roman" w:cs="Times New Roman"/>
          <w:highlight w:val="none"/>
        </w:rPr>
        <w:t>评审完成后，</w:t>
      </w:r>
      <w:r>
        <w:rPr>
          <w:rFonts w:hint="eastAsia" w:ascii="Times New Roman" w:hAnsi="Times New Roman" w:cs="Times New Roman"/>
          <w:highlight w:val="none"/>
        </w:rPr>
        <w:t>评审小组</w:t>
      </w:r>
      <w:r>
        <w:rPr>
          <w:rFonts w:ascii="Times New Roman" w:hAnsi="Times New Roman" w:cs="Times New Roman"/>
          <w:highlight w:val="none"/>
        </w:rPr>
        <w:t>应向采购人提交书面评审报告和成交候选人名单。</w:t>
      </w:r>
      <w:r>
        <w:rPr>
          <w:rFonts w:hint="eastAsia" w:ascii="Times New Roman" w:hAnsi="Times New Roman" w:cs="Times New Roman"/>
          <w:highlight w:val="none"/>
        </w:rPr>
        <w:t>评审小组</w:t>
      </w:r>
      <w:r>
        <w:rPr>
          <w:rFonts w:ascii="Times New Roman" w:hAnsi="Times New Roman" w:cs="Times New Roman"/>
          <w:highlight w:val="none"/>
        </w:rPr>
        <w:t>推荐成交候选人的人数</w:t>
      </w:r>
      <w:r>
        <w:rPr>
          <w:rFonts w:hint="eastAsia" w:ascii="Times New Roman" w:hAnsi="Times New Roman" w:cs="Times New Roman"/>
          <w:highlight w:val="none"/>
        </w:rPr>
        <w:t>为：3人（如不足3人，可以按实际数量推荐）</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 合同授予</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采用公开询比方式采购的项目，公示期不得少于</w:t>
      </w:r>
      <w:r>
        <w:rPr>
          <w:rFonts w:hint="eastAsia" w:ascii="Times New Roman" w:hAnsi="Times New Roman" w:cs="Times New Roman"/>
          <w:highlight w:val="none"/>
        </w:rPr>
        <w:t>3</w:t>
      </w:r>
      <w:r>
        <w:rPr>
          <w:rFonts w:ascii="Times New Roman" w:hAnsi="Times New Roman" w:cs="Times New Roman"/>
          <w:highlight w:val="none"/>
        </w:rPr>
        <w:t>日。</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highlight w:val="none"/>
        </w:rPr>
        <w:t>评审小组</w:t>
      </w:r>
      <w:r>
        <w:rPr>
          <w:rFonts w:ascii="Times New Roman" w:hAnsi="Times New Roman" w:cs="Times New Roman"/>
          <w:highlight w:val="none"/>
        </w:rPr>
        <w:t>按照询比文件规定的标准和方法进行审查确认。</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7.4履约保证金</w:t>
      </w:r>
    </w:p>
    <w:p>
      <w:pPr>
        <w:rPr>
          <w:rFonts w:hint="default" w:ascii="宋体" w:hAnsi="宋体" w:eastAsia="宋体" w:cs="宋体"/>
          <w:kern w:val="2"/>
          <w:sz w:val="21"/>
          <w:szCs w:val="21"/>
          <w:highlight w:val="none"/>
          <w:lang w:val="en-US" w:eastAsia="zh-CN" w:bidi="ar-SA"/>
        </w:rPr>
      </w:pPr>
      <w:r>
        <w:rPr>
          <w:rFonts w:ascii="Times New Roman" w:hAnsi="Times New Roman" w:cs="Times New Roman"/>
          <w:highlight w:val="none"/>
        </w:rPr>
        <w:t>7.4.1</w:t>
      </w:r>
      <w:r>
        <w:rPr>
          <w:rFonts w:hint="eastAsia" w:ascii="宋体" w:hAnsi="宋体" w:eastAsia="宋体" w:cs="宋体"/>
          <w:kern w:val="2"/>
          <w:sz w:val="21"/>
          <w:szCs w:val="21"/>
          <w:highlight w:val="none"/>
          <w:lang w:val="en-US" w:eastAsia="zh-CN" w:bidi="ar-SA"/>
        </w:rPr>
        <w:t>中标后，响应保证金自动转为履约保证金。</w:t>
      </w:r>
    </w:p>
    <w:p>
      <w:pPr>
        <w:spacing w:line="440" w:lineRule="exact"/>
        <w:ind w:firstLine="420"/>
        <w:rPr>
          <w:rFonts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7.4.2 成交人不能按本章第7.</w:t>
      </w:r>
      <w:r>
        <w:rPr>
          <w:rFonts w:hint="eastAsia" w:ascii="Times New Roman" w:hAnsi="Times New Roman" w:cs="Times New Roman"/>
          <w:highlight w:val="none"/>
        </w:rPr>
        <w:t>4</w:t>
      </w:r>
      <w:r>
        <w:rPr>
          <w:rFonts w:ascii="Times New Roman" w:hAnsi="Times New Roman" w:cs="Times New Roman"/>
          <w:highlight w:val="none"/>
        </w:rPr>
        <w:t>.1项要求提交履约保证金的，视为放弃成交候选人，其响应保证金不予退还，给采购人造成的损失超过响应保证金数额的，成交人还应当对超过部分予以赔偿。</w:t>
      </w:r>
    </w:p>
    <w:p>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7.5签订合同</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8. 纪律和监督</w:t>
      </w:r>
    </w:p>
    <w:p>
      <w:pPr>
        <w:keepNext/>
        <w:keepLines/>
        <w:spacing w:before="120" w:after="120"/>
        <w:outlineLvl w:val="2"/>
        <w:rPr>
          <w:rFonts w:hint="eastAsia" w:ascii="Times New Roman" w:hAnsi="Times New Roman" w:eastAsia="黑体" w:cs="Times New Roman"/>
          <w:bCs/>
          <w:sz w:val="24"/>
          <w:szCs w:val="32"/>
          <w:highlight w:val="none"/>
        </w:rPr>
      </w:pPr>
      <w:r>
        <w:rPr>
          <w:rFonts w:hint="eastAsia" w:ascii="Times New Roman" w:hAnsi="Times New Roman" w:eastAsia="黑体" w:cs="Times New Roman"/>
          <w:bCs/>
          <w:sz w:val="24"/>
          <w:szCs w:val="32"/>
          <w:highlight w:val="none"/>
          <w:lang w:val="en-US" w:eastAsia="zh-CN"/>
        </w:rPr>
        <w:t xml:space="preserve">8.1 </w:t>
      </w:r>
      <w:r>
        <w:rPr>
          <w:rFonts w:hint="eastAsia" w:ascii="Times New Roman" w:hAnsi="Times New Roman" w:eastAsia="黑体" w:cs="Times New Roman"/>
          <w:bCs/>
          <w:sz w:val="24"/>
          <w:szCs w:val="32"/>
          <w:highlight w:val="none"/>
        </w:rPr>
        <w:t>对</w:t>
      </w:r>
      <w:r>
        <w:rPr>
          <w:rFonts w:hint="eastAsia" w:ascii="Times New Roman" w:hAnsi="Times New Roman" w:eastAsia="黑体" w:cs="Times New Roman"/>
          <w:bCs/>
          <w:sz w:val="24"/>
          <w:szCs w:val="32"/>
          <w:highlight w:val="none"/>
          <w:lang w:eastAsia="zh-CN"/>
        </w:rPr>
        <w:t>采购</w:t>
      </w:r>
      <w:r>
        <w:rPr>
          <w:rFonts w:hint="eastAsia" w:ascii="Times New Roman" w:hAnsi="Times New Roman" w:eastAsia="黑体" w:cs="Times New Roman"/>
          <w:bCs/>
          <w:sz w:val="24"/>
          <w:szCs w:val="32"/>
          <w:highlight w:val="none"/>
        </w:rPr>
        <w:t>人的纪律要求</w:t>
      </w:r>
    </w:p>
    <w:p>
      <w:pPr>
        <w:spacing w:line="440" w:lineRule="exact"/>
        <w:ind w:firstLine="420"/>
        <w:rPr>
          <w:rFonts w:hint="eastAsia" w:ascii="Times New Roman" w:hAnsi="Times New Roman" w:cs="Times New Roman"/>
          <w:highlight w:val="none"/>
          <w:lang w:val="en-US" w:eastAsia="zh-CN"/>
        </w:rPr>
      </w:pPr>
      <w:r>
        <w:rPr>
          <w:rFonts w:hint="eastAsia" w:ascii="Times New Roman" w:hAnsi="Times New Roman" w:cs="Times New Roman"/>
          <w:highlight w:val="none"/>
          <w:lang w:eastAsia="zh-CN"/>
        </w:rPr>
        <w:t>采购</w:t>
      </w:r>
      <w:r>
        <w:rPr>
          <w:rFonts w:hint="eastAsia" w:ascii="Times New Roman" w:hAnsi="Times New Roman" w:cs="Times New Roman"/>
          <w:highlight w:val="none"/>
        </w:rPr>
        <w:t>人不得泄露</w:t>
      </w:r>
      <w:r>
        <w:rPr>
          <w:rFonts w:hint="eastAsia" w:ascii="Times New Roman" w:hAnsi="Times New Roman" w:cs="Times New Roman"/>
          <w:highlight w:val="none"/>
          <w:lang w:eastAsia="zh-CN"/>
        </w:rPr>
        <w:t>采购</w:t>
      </w:r>
      <w:r>
        <w:rPr>
          <w:rFonts w:hint="eastAsia" w:ascii="Times New Roman" w:hAnsi="Times New Roman" w:cs="Times New Roman"/>
          <w:highlight w:val="none"/>
        </w:rPr>
        <w:t>活动中应当保密的情况和资料， 不得与</w:t>
      </w:r>
      <w:r>
        <w:rPr>
          <w:rFonts w:hint="eastAsia" w:ascii="Times New Roman" w:hAnsi="Times New Roman" w:cs="Times New Roman"/>
          <w:highlight w:val="none"/>
          <w:lang w:eastAsia="zh-CN"/>
        </w:rPr>
        <w:t>响应供应商</w:t>
      </w:r>
      <w:r>
        <w:rPr>
          <w:rFonts w:hint="eastAsia" w:ascii="Times New Roman" w:hAnsi="Times New Roman" w:cs="Times New Roman"/>
          <w:highlight w:val="none"/>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highlight w:val="none"/>
          <w:lang w:val="en-US" w:eastAsia="zh-CN"/>
        </w:rPr>
      </w:pPr>
      <w:r>
        <w:rPr>
          <w:rFonts w:hint="eastAsia" w:ascii="Times New Roman" w:hAnsi="Times New Roman" w:eastAsia="黑体" w:cs="Times New Roman"/>
          <w:bCs/>
          <w:sz w:val="24"/>
          <w:szCs w:val="32"/>
          <w:highlight w:val="none"/>
          <w:lang w:val="en-US" w:eastAsia="zh-CN"/>
        </w:rPr>
        <w:t>8.2对响应供应商的纪律要求</w:t>
      </w:r>
    </w:p>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highlight w:val="none"/>
          <w:lang w:val="en-US" w:eastAsia="zh-CN"/>
        </w:rPr>
      </w:pPr>
      <w:r>
        <w:rPr>
          <w:rFonts w:hint="eastAsia" w:ascii="Times New Roman" w:hAnsi="Times New Roman" w:eastAsia="黑体" w:cs="Times New Roman"/>
          <w:bCs/>
          <w:sz w:val="24"/>
          <w:szCs w:val="32"/>
          <w:highlight w:val="none"/>
          <w:lang w:val="en-US" w:eastAsia="zh-CN"/>
        </w:rPr>
        <w:t>8.3 对评审小组成员的纪律要求</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评审小组</w:t>
      </w:r>
      <w:r>
        <w:rPr>
          <w:rFonts w:hint="eastAsia" w:ascii="Times New Roman" w:hAnsi="Times New Roman" w:cs="Times New Roman"/>
          <w:highlight w:val="none"/>
        </w:rPr>
        <w:t>成员不得收受他人的财物或者其他好处，不得向他人透露对</w:t>
      </w:r>
      <w:r>
        <w:rPr>
          <w:rFonts w:hint="eastAsia" w:ascii="Times New Roman" w:hAnsi="Times New Roman" w:cs="Times New Roman"/>
          <w:highlight w:val="none"/>
          <w:lang w:eastAsia="zh-CN"/>
        </w:rPr>
        <w:t>响应</w:t>
      </w:r>
      <w:r>
        <w:rPr>
          <w:rFonts w:hint="eastAsia" w:ascii="Times New Roman" w:hAnsi="Times New Roman" w:cs="Times New Roman"/>
          <w:highlight w:val="none"/>
        </w:rPr>
        <w:t>文件的评审和比较、中标候选人的推荐情况以及</w:t>
      </w:r>
      <w:r>
        <w:rPr>
          <w:rFonts w:hint="eastAsia" w:ascii="Times New Roman" w:hAnsi="Times New Roman" w:cs="Times New Roman"/>
          <w:highlight w:val="none"/>
          <w:lang w:eastAsia="zh-CN"/>
        </w:rPr>
        <w:t>评审</w:t>
      </w:r>
      <w:r>
        <w:rPr>
          <w:rFonts w:hint="eastAsia" w:ascii="Times New Roman" w:hAnsi="Times New Roman" w:cs="Times New Roman"/>
          <w:highlight w:val="none"/>
        </w:rPr>
        <w:t>有关的其他情况。在</w:t>
      </w:r>
      <w:r>
        <w:rPr>
          <w:rFonts w:hint="eastAsia" w:ascii="Times New Roman" w:hAnsi="Times New Roman" w:cs="Times New Roman"/>
          <w:highlight w:val="none"/>
          <w:lang w:eastAsia="zh-CN"/>
        </w:rPr>
        <w:t>评审</w:t>
      </w:r>
      <w:r>
        <w:rPr>
          <w:rFonts w:hint="eastAsia" w:ascii="Times New Roman" w:hAnsi="Times New Roman" w:cs="Times New Roman"/>
          <w:highlight w:val="none"/>
        </w:rPr>
        <w:t>活动中，</w:t>
      </w:r>
      <w:r>
        <w:rPr>
          <w:rFonts w:hint="eastAsia" w:ascii="Times New Roman" w:hAnsi="Times New Roman" w:cs="Times New Roman"/>
          <w:highlight w:val="none"/>
          <w:lang w:eastAsia="zh-CN"/>
        </w:rPr>
        <w:t>评审小组</w:t>
      </w:r>
      <w:r>
        <w:rPr>
          <w:rFonts w:hint="eastAsia" w:ascii="Times New Roman" w:hAnsi="Times New Roman" w:cs="Times New Roman"/>
          <w:highlight w:val="none"/>
        </w:rPr>
        <w:t>成员应当客观、公正地履行职责，遵守职业道德，不得擅离职守，影响评标程序正常进行，不得使用第三章“</w:t>
      </w:r>
      <w:r>
        <w:rPr>
          <w:rFonts w:hint="eastAsia" w:ascii="Times New Roman" w:hAnsi="Times New Roman" w:cs="Times New Roman"/>
          <w:highlight w:val="none"/>
          <w:lang w:eastAsia="zh-CN"/>
        </w:rPr>
        <w:t>评审</w:t>
      </w:r>
      <w:r>
        <w:rPr>
          <w:rFonts w:hint="eastAsia" w:ascii="Times New Roman" w:hAnsi="Times New Roman" w:cs="Times New Roman"/>
          <w:highlight w:val="none"/>
        </w:rPr>
        <w:t>办法”没有规定的评审因素和标准进行</w:t>
      </w:r>
      <w:r>
        <w:rPr>
          <w:rFonts w:hint="eastAsia" w:ascii="Times New Roman" w:hAnsi="Times New Roman" w:cs="Times New Roman"/>
          <w:highlight w:val="none"/>
          <w:lang w:eastAsia="zh-CN"/>
        </w:rPr>
        <w:t>评审</w:t>
      </w:r>
      <w:r>
        <w:rPr>
          <w:rFonts w:hint="eastAsia"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hint="eastAsia" w:ascii="Times New Roman" w:hAnsi="Times New Roman" w:eastAsia="黑体" w:cs="Times New Roman"/>
          <w:bCs/>
          <w:sz w:val="24"/>
          <w:szCs w:val="32"/>
          <w:highlight w:val="none"/>
        </w:rPr>
        <w:t xml:space="preserve">9. </w:t>
      </w:r>
      <w:r>
        <w:rPr>
          <w:rFonts w:ascii="Times New Roman" w:hAnsi="Times New Roman" w:eastAsia="黑体" w:cs="Times New Roman"/>
          <w:bCs/>
          <w:sz w:val="24"/>
          <w:szCs w:val="32"/>
          <w:highlight w:val="none"/>
        </w:rPr>
        <w:t>需要补充的其他内容</w:t>
      </w:r>
    </w:p>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t>需要补充的其他内容：见供应商须知前附表。</w:t>
      </w:r>
    </w:p>
    <w:bookmarkEnd w:id="49"/>
    <w:bookmarkEnd w:id="50"/>
    <w:bookmarkEnd w:id="51"/>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br w:type="page"/>
      </w:r>
    </w:p>
    <w:p>
      <w:pPr>
        <w:pStyle w:val="2"/>
        <w:spacing w:before="312" w:after="312"/>
        <w:rPr>
          <w:rFonts w:ascii="Times New Roman" w:hAnsi="Times New Roman" w:eastAsia="宋体" w:cs="Times New Roman"/>
          <w:highlight w:val="none"/>
        </w:rPr>
      </w:pPr>
      <w:bookmarkStart w:id="52" w:name="_Toc2394"/>
      <w:r>
        <w:rPr>
          <w:rFonts w:ascii="Times New Roman" w:hAnsi="Times New Roman" w:eastAsia="宋体" w:cs="Times New Roman"/>
          <w:highlight w:val="none"/>
        </w:rPr>
        <w:t>评审办法</w:t>
      </w:r>
      <w:bookmarkEnd w:id="52"/>
    </w:p>
    <w:p>
      <w:pPr>
        <w:rPr>
          <w:rFonts w:ascii="Times New Roman" w:hAnsi="Times New Roman" w:eastAsia="宋体" w:cs="Times New Roman"/>
          <w:highlight w:val="none"/>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p>
      <w:pPr>
        <w:keepNext/>
        <w:keepLines/>
        <w:widowControl w:val="0"/>
        <w:numPr>
          <w:ilvl w:val="0"/>
          <w:numId w:val="0"/>
        </w:numPr>
        <w:spacing w:before="0" w:line="400" w:lineRule="exact"/>
        <w:jc w:val="both"/>
        <w:outlineLvl w:val="9"/>
        <w:rPr>
          <w:rFonts w:hint="eastAsia" w:ascii="宋体" w:hAnsi="宋体" w:eastAsia="宋体" w:cs="宋体"/>
          <w:b/>
          <w:bCs/>
          <w:kern w:val="0"/>
          <w:sz w:val="28"/>
          <w:szCs w:val="28"/>
          <w:highlight w:val="none"/>
          <w:lang w:val="en-US" w:eastAsia="zh-CN" w:bidi="ar-SA"/>
        </w:rPr>
      </w:pPr>
      <w:bookmarkStart w:id="53" w:name="_Toc144974496"/>
      <w:bookmarkStart w:id="54" w:name="_Toc447808662"/>
      <w:bookmarkStart w:id="55" w:name="_Toc14847"/>
      <w:bookmarkStart w:id="56" w:name="_Toc152045528"/>
      <w:bookmarkStart w:id="57" w:name="_Toc457482536"/>
      <w:bookmarkStart w:id="58" w:name="_Toc152042304"/>
      <w:bookmarkStart w:id="59" w:name="_Toc3834"/>
      <w:r>
        <w:rPr>
          <w:rFonts w:hint="eastAsia" w:ascii="宋体" w:hAnsi="宋体" w:eastAsia="宋体" w:cs="宋体"/>
          <w:b/>
          <w:bCs/>
          <w:kern w:val="0"/>
          <w:sz w:val="28"/>
          <w:szCs w:val="28"/>
          <w:highlight w:val="none"/>
          <w:lang w:val="en-US" w:eastAsia="zh-CN" w:bidi="ar-SA"/>
        </w:rPr>
        <w:t>前附表</w:t>
      </w:r>
      <w:bookmarkEnd w:id="53"/>
      <w:bookmarkEnd w:id="54"/>
      <w:bookmarkEnd w:id="55"/>
      <w:bookmarkEnd w:id="56"/>
      <w:bookmarkEnd w:id="57"/>
      <w:bookmarkEnd w:id="58"/>
      <w:bookmarkEnd w:id="59"/>
      <w:r>
        <w:rPr>
          <w:rFonts w:hint="eastAsia" w:ascii="宋体" w:hAnsi="宋体" w:eastAsia="宋体" w:cs="宋体"/>
          <w:b/>
          <w:bCs/>
          <w:kern w:val="0"/>
          <w:sz w:val="28"/>
          <w:szCs w:val="28"/>
          <w:highlight w:val="none"/>
          <w:lang w:val="en-US" w:eastAsia="zh-CN" w:bidi="ar-SA"/>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4"/>
        <w:gridCol w:w="1060"/>
        <w:gridCol w:w="1774"/>
        <w:gridCol w:w="17"/>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3"/>
            <w:vAlign w:val="center"/>
          </w:tcPr>
          <w:p>
            <w:pPr>
              <w:widowControl/>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条款号</w:t>
            </w:r>
          </w:p>
        </w:tc>
        <w:tc>
          <w:tcPr>
            <w:tcW w:w="1774" w:type="dxa"/>
            <w:vAlign w:val="center"/>
          </w:tcPr>
          <w:p>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评审因素</w:t>
            </w:r>
          </w:p>
        </w:tc>
        <w:tc>
          <w:tcPr>
            <w:tcW w:w="5676" w:type="dxa"/>
            <w:gridSpan w:val="2"/>
            <w:vAlign w:val="center"/>
          </w:tcPr>
          <w:p>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gridSpan w:val="2"/>
            <w:vAlign w:val="center"/>
          </w:tcPr>
          <w:p>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1</w:t>
            </w:r>
          </w:p>
        </w:tc>
        <w:tc>
          <w:tcPr>
            <w:tcW w:w="1060" w:type="dxa"/>
            <w:vAlign w:val="center"/>
          </w:tcPr>
          <w:p>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评审</w:t>
            </w:r>
            <w:r>
              <w:rPr>
                <w:rFonts w:hint="eastAsia" w:ascii="Times New Roman" w:hAnsi="Times New Roman" w:cs="Times New Roman"/>
                <w:bCs/>
                <w:kern w:val="0"/>
                <w:szCs w:val="21"/>
                <w:highlight w:val="none"/>
              </w:rPr>
              <w:t>方</w:t>
            </w:r>
            <w:r>
              <w:rPr>
                <w:rFonts w:ascii="Times New Roman" w:hAnsi="Times New Roman" w:cs="Times New Roman"/>
                <w:bCs/>
                <w:kern w:val="0"/>
                <w:szCs w:val="21"/>
                <w:highlight w:val="none"/>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成交候选人</w:t>
            </w:r>
          </w:p>
          <w:p>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排序方法</w:t>
            </w:r>
          </w:p>
        </w:tc>
        <w:tc>
          <w:tcPr>
            <w:tcW w:w="5676" w:type="dxa"/>
            <w:gridSpan w:val="2"/>
            <w:tcMar>
              <w:left w:w="75" w:type="dxa"/>
            </w:tcMar>
            <w:vAlign w:val="center"/>
          </w:tcPr>
          <w:p>
            <w:pPr>
              <w:widowControl/>
              <w:adjustRightInd w:val="0"/>
              <w:snapToGrid w:val="0"/>
              <w:jc w:val="left"/>
              <w:rPr>
                <w:highlight w:val="none"/>
              </w:rPr>
            </w:pPr>
            <w:r>
              <w:rPr>
                <w:rFonts w:hint="eastAsia"/>
                <w:highlight w:val="none"/>
              </w:rPr>
              <w:t>按评审价由低到高的顺序依次推荐成交候选人：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评审价</w:t>
            </w:r>
            <w:r>
              <w:rPr>
                <w:rFonts w:hint="eastAsia" w:ascii="宋体" w:hAnsi="宋体" w:eastAsia="宋体" w:cs="宋体"/>
                <w:sz w:val="21"/>
                <w:szCs w:val="21"/>
                <w:highlight w:val="none"/>
              </w:rPr>
              <w:t>相等时，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委员会依次按照以下优先顺序推荐</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候选人：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响应文件提供的合格业绩数量多的投标人优先</w:t>
            </w:r>
            <w:r>
              <w:rPr>
                <w:rFonts w:hint="eastAsia" w:ascii="宋体" w:hAnsi="宋体" w:eastAsia="宋体" w:cs="宋体"/>
                <w:sz w:val="21"/>
                <w:szCs w:val="21"/>
                <w:highlight w:val="none"/>
                <w:lang w:eastAsia="zh-CN"/>
              </w:rPr>
              <w:t>；</w:t>
            </w:r>
          </w:p>
          <w:p>
            <w:pPr>
              <w:spacing w:line="440" w:lineRule="exact"/>
              <w:rPr>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递交响应文件时间早的</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3"/>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1791"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659"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64" w:type="dxa"/>
            <w:gridSpan w:val="2"/>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形式评审标准</w:t>
            </w: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与营业执照、资质证书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响应文件格式</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64" w:type="dxa"/>
            <w:gridSpan w:val="2"/>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资格评审标准</w:t>
            </w: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1064" w:type="dxa"/>
            <w:gridSpan w:val="2"/>
            <w:vMerge w:val="restart"/>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响应性评审标准</w:t>
            </w: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（1）报价未超过</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设定的最高限价。</w:t>
            </w:r>
          </w:p>
          <w:p>
            <w:pPr>
              <w:widowControl/>
              <w:adjustRightInd w:val="0"/>
              <w:snapToGrid w:val="0"/>
              <w:spacing w:line="36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未递交两个以上不同的报价。</w:t>
            </w:r>
          </w:p>
          <w:p>
            <w:pPr>
              <w:widowControl/>
              <w:adjustRightInd w:val="0"/>
              <w:snapToGrid w:val="0"/>
              <w:spacing w:line="360" w:lineRule="atLeas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w:t>
            </w:r>
            <w:r>
              <w:rPr>
                <w:rFonts w:hint="eastAsia" w:ascii="宋体" w:hAnsi="宋体" w:eastAsia="宋体" w:cs="宋体"/>
                <w:color w:val="auto"/>
                <w:sz w:val="21"/>
                <w:szCs w:val="21"/>
                <w:highlight w:val="none"/>
                <w:lang w:eastAsia="zh-CN"/>
              </w:rPr>
              <w:t>报价清单</w:t>
            </w:r>
            <w:r>
              <w:rPr>
                <w:rFonts w:hint="eastAsia" w:ascii="宋体" w:hAnsi="宋体" w:eastAsia="宋体" w:cs="宋体"/>
                <w:color w:val="auto"/>
                <w:sz w:val="21"/>
                <w:szCs w:val="21"/>
                <w:highlight w:val="none"/>
                <w:lang w:val="en-US" w:eastAsia="zh-CN"/>
              </w:rPr>
              <w:t>填写了报价，且未修改报价清单说明、数量等实质性内容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064" w:type="dxa"/>
            <w:gridSpan w:val="2"/>
            <w:vMerge w:val="continue"/>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p>
        </w:tc>
        <w:tc>
          <w:tcPr>
            <w:tcW w:w="1791" w:type="dxa"/>
            <w:gridSpan w:val="2"/>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询比文件</w:t>
            </w:r>
            <w:r>
              <w:rPr>
                <w:rFonts w:hint="eastAsia" w:ascii="宋体" w:hAnsi="宋体" w:eastAsia="宋体" w:cs="宋体"/>
                <w:color w:val="auto"/>
                <w:kern w:val="0"/>
                <w:sz w:val="21"/>
                <w:szCs w:val="21"/>
                <w:highlight w:val="none"/>
              </w:rPr>
              <w:t>的其他实质性要求和条件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6"/>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highlight w:val="none"/>
              </w:rPr>
              <w:t>响应文件不符合以上条件之一的，对该响应文件作否决其</w:t>
            </w:r>
            <w:r>
              <w:rPr>
                <w:rFonts w:hint="eastAsia" w:ascii="宋体" w:hAnsi="宋体" w:eastAsia="宋体" w:cs="宋体"/>
                <w:b/>
                <w:bCs/>
                <w:sz w:val="21"/>
                <w:szCs w:val="21"/>
                <w:highlight w:val="none"/>
                <w:lang w:eastAsia="zh-CN"/>
              </w:rPr>
              <w:t>响应</w:t>
            </w:r>
            <w:r>
              <w:rPr>
                <w:rFonts w:hint="eastAsia" w:ascii="宋体" w:hAnsi="宋体" w:eastAsia="宋体" w:cs="宋体"/>
                <w:b/>
                <w:bCs/>
                <w:sz w:val="21"/>
                <w:szCs w:val="21"/>
                <w:highlight w:val="none"/>
              </w:rPr>
              <w:t>处理。</w:t>
            </w:r>
          </w:p>
        </w:tc>
      </w:tr>
    </w:tbl>
    <w:p>
      <w:pPr>
        <w:widowControl/>
        <w:spacing w:line="360" w:lineRule="atLeast"/>
        <w:jc w:val="center"/>
        <w:rPr>
          <w:rFonts w:ascii="Times New Roman" w:hAnsi="Times New Roman" w:cs="Times New Roman"/>
          <w:highlight w:val="none"/>
        </w:rPr>
      </w:pPr>
    </w:p>
    <w:p>
      <w:pPr>
        <w:pStyle w:val="7"/>
        <w:rPr>
          <w:highlight w:val="none"/>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highlight w:val="none"/>
              </w:rPr>
            </w:pPr>
            <w:r>
              <w:rPr>
                <w:rFonts w:ascii="Times New Roman" w:hAnsi="Times New Roman" w:cs="Times New Roman"/>
                <w:b/>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highlight w:val="none"/>
              </w:rPr>
            </w:pPr>
            <w:r>
              <w:rPr>
                <w:rFonts w:ascii="Times New Roman" w:hAnsi="Times New Roman" w:cs="Times New Roman"/>
                <w:b/>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highlight w:val="none"/>
              </w:rPr>
            </w:pPr>
            <w:r>
              <w:rPr>
                <w:rFonts w:ascii="Times New Roman" w:hAnsi="Times New Roman" w:cs="Times New Roman"/>
                <w:b/>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highlight w:val="none"/>
              </w:rPr>
            </w:pPr>
            <w:r>
              <w:rPr>
                <w:rFonts w:ascii="Times New Roman" w:hAnsi="Times New Roman" w:cs="Times New Roman"/>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highlight w:val="none"/>
              </w:rPr>
            </w:pPr>
            <w:r>
              <w:rPr>
                <w:rFonts w:ascii="Times New Roman" w:hAnsi="Times New Roman" w:cs="Times New Roman"/>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highlight w:val="none"/>
              </w:rPr>
            </w:pPr>
            <w:r>
              <w:rPr>
                <w:rFonts w:ascii="Times New Roman" w:hAnsi="Times New Roman" w:cs="Times New Roman"/>
                <w:szCs w:val="21"/>
                <w:highlight w:val="none"/>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highlight w:val="none"/>
              </w:rPr>
            </w:pPr>
            <w:r>
              <w:rPr>
                <w:rFonts w:ascii="Times New Roman" w:hAnsi="Times New Roman" w:cs="Times New Roman"/>
                <w:kern w:val="0"/>
                <w:szCs w:val="21"/>
                <w:highlight w:val="none"/>
              </w:rPr>
              <w:t>评审价＝</w:t>
            </w:r>
            <w:r>
              <w:rPr>
                <w:rFonts w:hint="eastAsia" w:ascii="Times New Roman" w:hAnsi="Times New Roman" w:cs="Times New Roman"/>
                <w:kern w:val="0"/>
                <w:szCs w:val="21"/>
                <w:highlight w:val="none"/>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highlight w:val="none"/>
              </w:rPr>
            </w:pPr>
            <w:r>
              <w:rPr>
                <w:rFonts w:ascii="Times New Roman" w:hAnsi="Times New Roman" w:cs="Times New Roman"/>
                <w:szCs w:val="21"/>
                <w:highlight w:val="none"/>
              </w:rPr>
              <w:t>需要补充的其他内容：</w:t>
            </w:r>
          </w:p>
          <w:p>
            <w:pPr>
              <w:spacing w:before="50" w:after="50"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一、合作单位的选择及成交原则</w:t>
            </w:r>
          </w:p>
          <w:p>
            <w:pPr>
              <w:spacing w:before="50" w:after="50"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1、本次采购活动将采用</w:t>
            </w:r>
            <w:r>
              <w:rPr>
                <w:rFonts w:hint="eastAsia" w:ascii="宋体" w:hAnsi="宋体" w:eastAsia="宋体" w:cs="宋体"/>
                <w:b/>
                <w:bCs/>
                <w:szCs w:val="21"/>
                <w:highlight w:val="none"/>
              </w:rPr>
              <w:t>经评审的最低价法</w:t>
            </w:r>
            <w:r>
              <w:rPr>
                <w:rFonts w:hint="eastAsia" w:ascii="宋体" w:hAnsi="宋体" w:eastAsia="宋体" w:cs="宋体"/>
                <w:szCs w:val="21"/>
                <w:highlight w:val="none"/>
              </w:rPr>
              <w:t>进行评审。</w:t>
            </w:r>
          </w:p>
          <w:p>
            <w:pPr>
              <w:spacing w:before="50" w:after="50" w:line="360"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经评审的最低价法</w:t>
            </w:r>
            <w:r>
              <w:rPr>
                <w:rFonts w:hint="eastAsia" w:ascii="宋体" w:hAnsi="宋体" w:eastAsia="宋体" w:cs="宋体"/>
                <w:szCs w:val="21"/>
                <w:highlight w:val="none"/>
              </w:rPr>
              <w:t>：以价格为主要因素确定成交人，即在全部满足前附表要求（资格评审和响应性评审）前提下，根据各家报价由低到高的顺序，依次推荐三名中标候选人。</w:t>
            </w:r>
          </w:p>
          <w:p>
            <w:pPr>
              <w:numPr>
                <w:ilvl w:val="0"/>
                <w:numId w:val="4"/>
              </w:numPr>
              <w:spacing w:before="50" w:after="50" w:line="360" w:lineRule="auto"/>
              <w:ind w:firstLine="420" w:firstLineChars="200"/>
              <w:rPr>
                <w:rFonts w:ascii="Times New Roman" w:hAnsi="Times New Roman" w:cs="Times New Roman"/>
                <w:szCs w:val="21"/>
                <w:highlight w:val="none"/>
              </w:rPr>
            </w:pPr>
            <w:r>
              <w:rPr>
                <w:rFonts w:hint="eastAsia" w:ascii="宋体" w:hAnsi="宋体" w:eastAsia="宋体" w:cs="宋体"/>
                <w:szCs w:val="21"/>
                <w:highlight w:val="none"/>
              </w:rPr>
              <w:t>评审委员会应按照组合价最低原则确定成交人。</w:t>
            </w:r>
          </w:p>
        </w:tc>
      </w:tr>
    </w:tbl>
    <w:p>
      <w:pPr>
        <w:pStyle w:val="7"/>
        <w:rPr>
          <w:highlight w:val="none"/>
        </w:rPr>
      </w:pPr>
    </w:p>
    <w:p>
      <w:pPr>
        <w:pStyle w:val="7"/>
        <w:rPr>
          <w:highlight w:val="none"/>
        </w:rPr>
      </w:pPr>
    </w:p>
    <w:p>
      <w:pPr>
        <w:jc w:val="left"/>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评审方法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本次评审采用</w:t>
      </w:r>
      <w:r>
        <w:rPr>
          <w:rFonts w:hint="eastAsia" w:ascii="Times New Roman" w:hAnsi="Times New Roman" w:cs="Times New Roman"/>
          <w:highlight w:val="none"/>
          <w:lang w:val="en-US" w:eastAsia="zh-CN"/>
        </w:rPr>
        <w:t>最低价法</w:t>
      </w:r>
      <w:r>
        <w:rPr>
          <w:rFonts w:ascii="Times New Roman" w:hAnsi="Times New Roman" w:cs="Times New Roman"/>
          <w:highlight w:val="none"/>
        </w:rPr>
        <w:t>。</w:t>
      </w:r>
      <w:r>
        <w:rPr>
          <w:rFonts w:hint="eastAsia" w:ascii="Times New Roman" w:hAnsi="Times New Roman" w:cs="Times New Roman"/>
          <w:highlight w:val="none"/>
        </w:rPr>
        <w:t>评审小组</w:t>
      </w:r>
      <w:r>
        <w:rPr>
          <w:rFonts w:ascii="Times New Roman" w:hAnsi="Times New Roman" w:cs="Times New Roman"/>
          <w:highlight w:val="none"/>
        </w:rPr>
        <w:t>对满足询比文件实质性要求的响应文件</w:t>
      </w:r>
      <w:r>
        <w:rPr>
          <w:rFonts w:hint="eastAsia" w:ascii="Times New Roman" w:hAnsi="Times New Roman" w:cs="Times New Roman"/>
          <w:highlight w:val="none"/>
          <w:lang w:eastAsia="zh-CN"/>
        </w:rPr>
        <w:t>，</w:t>
      </w:r>
      <w:r>
        <w:rPr>
          <w:rFonts w:ascii="Times New Roman" w:hAnsi="Times New Roman" w:cs="Times New Roman"/>
          <w:highlight w:val="none"/>
        </w:rPr>
        <w:t>按照</w:t>
      </w:r>
      <w:r>
        <w:rPr>
          <w:rFonts w:hint="eastAsia" w:ascii="Times New Roman" w:hAnsi="Times New Roman" w:cs="Times New Roman"/>
          <w:highlight w:val="none"/>
        </w:rPr>
        <w:t>评审</w:t>
      </w:r>
      <w:r>
        <w:rPr>
          <w:rFonts w:ascii="Times New Roman" w:hAnsi="Times New Roman" w:cs="Times New Roman"/>
          <w:highlight w:val="none"/>
        </w:rPr>
        <w:t>价由低到高的顺序依次推荐</w:t>
      </w:r>
      <w:r>
        <w:rPr>
          <w:rFonts w:hint="eastAsia" w:ascii="Times New Roman" w:hAnsi="Times New Roman" w:cs="Times New Roman"/>
          <w:highlight w:val="none"/>
        </w:rPr>
        <w:t>成交候选人</w:t>
      </w:r>
      <w:r>
        <w:rPr>
          <w:rFonts w:ascii="Times New Roman" w:hAnsi="Times New Roman" w:cs="Times New Roman"/>
          <w:highlight w:val="none"/>
        </w:rPr>
        <w:t>。如</w:t>
      </w:r>
      <w:r>
        <w:rPr>
          <w:rFonts w:hint="eastAsia" w:ascii="Times New Roman" w:hAnsi="Times New Roman" w:cs="Times New Roman"/>
          <w:highlight w:val="none"/>
        </w:rPr>
        <w:t>报价</w:t>
      </w:r>
      <w:r>
        <w:rPr>
          <w:rFonts w:ascii="Times New Roman" w:hAnsi="Times New Roman" w:cs="Times New Roman"/>
          <w:highlight w:val="none"/>
        </w:rPr>
        <w:t>相同的，按照</w:t>
      </w:r>
      <w:r>
        <w:rPr>
          <w:rFonts w:hint="eastAsia" w:ascii="Times New Roman" w:hAnsi="Times New Roman" w:cs="Times New Roman"/>
          <w:highlight w:val="none"/>
        </w:rPr>
        <w:t>评审</w:t>
      </w:r>
      <w:r>
        <w:rPr>
          <w:rFonts w:ascii="Times New Roman" w:hAnsi="Times New Roman" w:cs="Times New Roman"/>
          <w:highlight w:val="none"/>
        </w:rPr>
        <w:t>办法前附表中的规定确定</w:t>
      </w:r>
      <w:r>
        <w:rPr>
          <w:rFonts w:hint="eastAsia" w:ascii="Times New Roman" w:hAnsi="Times New Roman" w:cs="Times New Roman"/>
          <w:highlight w:val="none"/>
        </w:rPr>
        <w:t>成交候选人</w:t>
      </w:r>
      <w:r>
        <w:rPr>
          <w:rFonts w:ascii="Times New Roman" w:hAnsi="Times New Roman" w:cs="Times New Roman"/>
          <w:highlight w:val="none"/>
        </w:rPr>
        <w:t>顺序。</w:t>
      </w:r>
    </w:p>
    <w:p>
      <w:pPr>
        <w:keepNext/>
        <w:keepLines/>
        <w:spacing w:beforeLines="50"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 评审标准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2.1 初步评审标准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2.1.1 形式评审标准：见评审办法前附表。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2.1.2 资格评审标准：见评审办法前附表。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2.1.3 响应性评审标准：见评审办法前附表。</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2.2 分值构成与评审标准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2.2.1分值构成：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技术性能</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供货方案</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w:t>
      </w:r>
      <w:r>
        <w:rPr>
          <w:rFonts w:hint="eastAsia" w:ascii="Times New Roman" w:hAnsi="Times New Roman" w:cs="Times New Roman"/>
          <w:highlight w:val="none"/>
        </w:rPr>
        <w:t>评审价</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2.2.2 评审基准价计算</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评审基准价计算方法：见评审办法前附表。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2.2.3 评审价的偏差率计算</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评审价的偏差率计算公式：见评审办法前附表。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2.2.4评分标准：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评分标准：见评审办法前附表；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技术性能</w:t>
      </w:r>
      <w:r>
        <w:rPr>
          <w:rFonts w:ascii="Times New Roman" w:hAnsi="Times New Roman" w:cs="Times New Roman"/>
          <w:highlight w:val="none"/>
        </w:rPr>
        <w:t>评分标准：见评审办法前附表；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供货方案</w:t>
      </w:r>
      <w:r>
        <w:rPr>
          <w:rFonts w:ascii="Times New Roman" w:hAnsi="Times New Roman" w:cs="Times New Roman"/>
          <w:highlight w:val="none"/>
        </w:rPr>
        <w:t>评分标准：见评审办法前附表；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w:t>
      </w:r>
      <w:r>
        <w:rPr>
          <w:rFonts w:hint="eastAsia" w:ascii="Times New Roman" w:hAnsi="Times New Roman" w:cs="Times New Roman"/>
          <w:highlight w:val="none"/>
        </w:rPr>
        <w:t>评审价</w:t>
      </w:r>
      <w:r>
        <w:rPr>
          <w:rFonts w:ascii="Times New Roman" w:hAnsi="Times New Roman" w:cs="Times New Roman"/>
          <w:highlight w:val="none"/>
        </w:rPr>
        <w:t>评分标准：见评审办法前附表。</w:t>
      </w:r>
    </w:p>
    <w:p>
      <w:pPr>
        <w:keepNext/>
        <w:keepLines/>
        <w:spacing w:beforeLines="50"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 评审程序</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 初步评审</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3.1.1</w:t>
      </w:r>
      <w:r>
        <w:rPr>
          <w:rFonts w:hint="eastAsia" w:ascii="Times New Roman" w:hAnsi="Times New Roman" w:cs="Times New Roman"/>
          <w:highlight w:val="none"/>
        </w:rPr>
        <w:t xml:space="preserve"> 评审小组</w:t>
      </w:r>
      <w:r>
        <w:rPr>
          <w:rFonts w:ascii="Times New Roman" w:hAnsi="Times New Roman" w:cs="Times New Roman"/>
          <w:highlight w:val="none"/>
        </w:rPr>
        <w:t>依据本章第2.1.1项、第2.1.2项、第2.1.3项规定的标准对响应文件进行评审。有一项不符合评审标准的，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2 </w:t>
      </w:r>
      <w:r>
        <w:rPr>
          <w:rFonts w:ascii="Times New Roman" w:hAnsi="Times New Roman" w:cs="Times New Roman"/>
          <w:highlight w:val="none"/>
        </w:rPr>
        <w:t>响应文件中填报的报价、</w:t>
      </w:r>
      <w:r>
        <w:rPr>
          <w:rFonts w:hint="eastAsia" w:ascii="Times New Roman" w:hAnsi="Times New Roman" w:cs="Times New Roman"/>
          <w:highlight w:val="none"/>
        </w:rPr>
        <w:t>交货期</w:t>
      </w:r>
      <w:r>
        <w:rPr>
          <w:rFonts w:ascii="Times New Roman" w:hAnsi="Times New Roman" w:cs="Times New Roman"/>
          <w:highlight w:val="none"/>
        </w:rPr>
        <w:t>、质量标准前后不一致</w:t>
      </w:r>
      <w:r>
        <w:rPr>
          <w:rFonts w:hint="eastAsia" w:ascii="Times New Roman" w:hAnsi="Times New Roman" w:cs="Times New Roman"/>
          <w:highlight w:val="none"/>
        </w:rPr>
        <w:t>，且报价函中填写的内容满足询比文件要求</w:t>
      </w:r>
      <w:r>
        <w:rPr>
          <w:rFonts w:ascii="Times New Roman" w:hAnsi="Times New Roman" w:cs="Times New Roman"/>
          <w:highlight w:val="none"/>
        </w:rPr>
        <w:t>时，</w:t>
      </w:r>
      <w:r>
        <w:rPr>
          <w:rFonts w:hint="eastAsia" w:ascii="Times New Roman" w:hAnsi="Times New Roman" w:cs="Times New Roman"/>
          <w:highlight w:val="none"/>
        </w:rPr>
        <w:t>按细微偏差处理，并</w:t>
      </w:r>
      <w:r>
        <w:rPr>
          <w:rFonts w:ascii="Times New Roman" w:hAnsi="Times New Roman" w:cs="Times New Roman"/>
          <w:highlight w:val="none"/>
        </w:rPr>
        <w:t>以报价函填报的为准</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3.1.3 </w:t>
      </w:r>
      <w:r>
        <w:rPr>
          <w:rFonts w:ascii="Times New Roman" w:hAnsi="Times New Roman" w:cs="Times New Roman"/>
          <w:highlight w:val="none"/>
        </w:rPr>
        <w:t>报价存在</w:t>
      </w:r>
      <w:r>
        <w:rPr>
          <w:rFonts w:hint="eastAsia" w:ascii="Times New Roman" w:hAnsi="Times New Roman" w:cs="Times New Roman"/>
          <w:highlight w:val="none"/>
        </w:rPr>
        <w:t>以下</w:t>
      </w:r>
      <w:r>
        <w:rPr>
          <w:rFonts w:ascii="Times New Roman" w:hAnsi="Times New Roman" w:cs="Times New Roman"/>
          <w:highlight w:val="none"/>
        </w:rPr>
        <w:t>细微偏差的，</w:t>
      </w:r>
      <w:r>
        <w:rPr>
          <w:rFonts w:hint="eastAsia" w:ascii="Times New Roman" w:hAnsi="Times New Roman" w:cs="Times New Roman"/>
          <w:highlight w:val="none"/>
        </w:rPr>
        <w:t>评审小组</w:t>
      </w:r>
      <w:r>
        <w:rPr>
          <w:rFonts w:ascii="Times New Roman" w:hAnsi="Times New Roman" w:cs="Times New Roman"/>
          <w:highlight w:val="none"/>
        </w:rPr>
        <w:t>按以上原则对报价进行处理，并要求供应商书面澄清确认，供应商拒不澄清确认的，</w:t>
      </w:r>
      <w:r>
        <w:rPr>
          <w:rFonts w:hint="eastAsia" w:ascii="Times New Roman" w:hAnsi="Times New Roman" w:cs="Times New Roman"/>
          <w:highlight w:val="none"/>
        </w:rPr>
        <w:t>评审小组</w:t>
      </w:r>
      <w:r>
        <w:rPr>
          <w:rFonts w:ascii="Times New Roman" w:hAnsi="Times New Roman" w:cs="Times New Roman"/>
          <w:highlight w:val="none"/>
        </w:rPr>
        <w:t>应当否决其报价。</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①响应文件中的大写金额与小写金额不一致的，以大写金额为准；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（2）报价</w:t>
      </w:r>
      <w:r>
        <w:rPr>
          <w:rFonts w:ascii="Times New Roman" w:hAnsi="Times New Roman" w:cs="Times New Roman"/>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4 </w:t>
      </w:r>
      <w:r>
        <w:rPr>
          <w:rFonts w:ascii="Times New Roman" w:hAnsi="Times New Roman" w:cs="Times New Roman"/>
          <w:highlight w:val="none"/>
        </w:rPr>
        <w:t>修正后的最终报价若超过最高限价（如有），</w:t>
      </w:r>
      <w:r>
        <w:rPr>
          <w:rFonts w:hint="eastAsia" w:ascii="Times New Roman" w:hAnsi="Times New Roman" w:cs="Times New Roman"/>
          <w:highlight w:val="none"/>
        </w:rPr>
        <w:t>评审小组</w:t>
      </w:r>
      <w:r>
        <w:rPr>
          <w:rFonts w:ascii="Times New Roman" w:hAnsi="Times New Roman" w:cs="Times New Roman"/>
          <w:highlight w:val="none"/>
        </w:rPr>
        <w:t>应否决其报价。</w:t>
      </w:r>
    </w:p>
    <w:p>
      <w:pPr>
        <w:spacing w:line="440" w:lineRule="exact"/>
        <w:ind w:firstLine="420"/>
        <w:rPr>
          <w:highlight w:val="none"/>
        </w:rPr>
      </w:pPr>
      <w:r>
        <w:rPr>
          <w:rFonts w:ascii="Times New Roman" w:hAnsi="Times New Roman" w:cs="Times New Roman"/>
          <w:highlight w:val="none"/>
        </w:rPr>
        <w:t>3.1.</w:t>
      </w:r>
      <w:r>
        <w:rPr>
          <w:rFonts w:hint="eastAsia" w:ascii="Times New Roman" w:hAnsi="Times New Roman" w:cs="Times New Roman"/>
          <w:highlight w:val="none"/>
        </w:rPr>
        <w:t>5</w:t>
      </w:r>
      <w:r>
        <w:rPr>
          <w:rFonts w:ascii="Times New Roman" w:hAnsi="Times New Roman" w:cs="Times New Roman"/>
          <w:highlight w:val="none"/>
        </w:rPr>
        <w:t xml:space="preserve"> </w:t>
      </w:r>
      <w:r>
        <w:rPr>
          <w:rFonts w:hint="eastAsia" w:ascii="Times New Roman" w:hAnsi="Times New Roman" w:cs="Times New Roman"/>
          <w:szCs w:val="21"/>
          <w:highlight w:val="none"/>
        </w:rPr>
        <w:t>修正后的</w:t>
      </w:r>
      <w:r>
        <w:rPr>
          <w:rFonts w:ascii="Times New Roman" w:hAnsi="Times New Roman" w:cs="Times New Roman"/>
          <w:highlight w:val="none"/>
        </w:rPr>
        <w:t>最终报价参与评审价得分的计算</w:t>
      </w:r>
      <w:r>
        <w:rPr>
          <w:rFonts w:hint="eastAsia" w:ascii="Times New Roman" w:hAnsi="Times New Roman" w:cs="Times New Roman"/>
          <w:highlight w:val="none"/>
        </w:rPr>
        <w:t>，并作为签订合同的依据</w:t>
      </w:r>
      <w:r>
        <w:rPr>
          <w:rFonts w:ascii="Times New Roman" w:hAnsi="Times New Roman" w:cs="Times New Roman"/>
          <w:highlight w:val="none"/>
        </w:rPr>
        <w:t>。</w:t>
      </w:r>
    </w:p>
    <w:p>
      <w:pPr>
        <w:keepNext/>
        <w:keepLines/>
        <w:spacing w:before="120" w:after="120"/>
        <w:outlineLvl w:val="2"/>
        <w:rPr>
          <w:rFonts w:ascii="Times New Roman" w:hAnsi="Times New Roman" w:cs="Times New Roman"/>
          <w:highlight w:val="none"/>
        </w:rPr>
      </w:pPr>
      <w:r>
        <w:rPr>
          <w:rFonts w:ascii="Times New Roman" w:hAnsi="Times New Roman" w:eastAsia="黑体" w:cs="Times New Roman"/>
          <w:bCs/>
          <w:sz w:val="24"/>
          <w:szCs w:val="32"/>
          <w:highlight w:val="none"/>
        </w:rPr>
        <w:t>3.2 详细评审</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3.2.1 </w:t>
      </w:r>
      <w:r>
        <w:rPr>
          <w:rFonts w:hint="eastAsia" w:ascii="Times New Roman" w:hAnsi="Times New Roman" w:cs="Times New Roman"/>
          <w:highlight w:val="none"/>
        </w:rPr>
        <w:t>评审小组</w:t>
      </w:r>
      <w:r>
        <w:rPr>
          <w:rFonts w:ascii="Times New Roman" w:hAnsi="Times New Roman" w:cs="Times New Roman"/>
          <w:highlight w:val="none"/>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3.3 </w:t>
      </w:r>
      <w:r>
        <w:rPr>
          <w:rFonts w:hint="eastAsia" w:ascii="Times New Roman" w:hAnsi="Times New Roman" w:eastAsia="黑体" w:cs="Times New Roman"/>
          <w:bCs/>
          <w:sz w:val="24"/>
          <w:szCs w:val="32"/>
          <w:highlight w:val="none"/>
        </w:rPr>
        <w:t>否决响应文件</w:t>
      </w:r>
      <w:r>
        <w:rPr>
          <w:rFonts w:ascii="Times New Roman" w:hAnsi="Times New Roman" w:eastAsia="黑体" w:cs="Times New Roman"/>
          <w:bCs/>
          <w:sz w:val="24"/>
          <w:szCs w:val="32"/>
          <w:highlight w:val="none"/>
        </w:rPr>
        <w:t>的其他情形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应对在评审过程中发现供应商存在串通报价、弄虚作假、行贿等违法行为的，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 响应文件的澄清</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3.4.1 在评审过程中，</w:t>
      </w:r>
      <w:r>
        <w:rPr>
          <w:rFonts w:hint="eastAsia" w:ascii="Times New Roman" w:hAnsi="Times New Roman" w:cs="Times New Roman"/>
          <w:highlight w:val="none"/>
        </w:rPr>
        <w:t>评审小组</w:t>
      </w:r>
      <w:r>
        <w:rPr>
          <w:rFonts w:ascii="Times New Roman" w:hAnsi="Times New Roman" w:cs="Times New Roman"/>
          <w:highlight w:val="none"/>
        </w:rPr>
        <w:t>可以书面形式要求供应商对响应文件中含义不明确、对同类问题表述不一致或者有明显文字</w:t>
      </w:r>
      <w:r>
        <w:rPr>
          <w:rFonts w:hint="eastAsia" w:ascii="Times New Roman" w:hAnsi="Times New Roman" w:cs="Times New Roman"/>
          <w:highlight w:val="none"/>
        </w:rPr>
        <w:t>错误</w:t>
      </w:r>
      <w:r>
        <w:rPr>
          <w:rFonts w:ascii="Times New Roman" w:hAnsi="Times New Roman" w:cs="Times New Roman"/>
          <w:highlight w:val="none"/>
        </w:rPr>
        <w:t>的内容做必要的澄清。</w:t>
      </w:r>
      <w:r>
        <w:rPr>
          <w:rFonts w:hint="eastAsia" w:ascii="Times New Roman" w:hAnsi="Times New Roman" w:cs="Times New Roman"/>
          <w:highlight w:val="none"/>
        </w:rPr>
        <w:t>评审小组</w:t>
      </w:r>
      <w:r>
        <w:rPr>
          <w:rFonts w:ascii="Times New Roman" w:hAnsi="Times New Roman" w:cs="Times New Roman"/>
          <w:highlight w:val="none"/>
        </w:rPr>
        <w:t>不接受供应商主动提出的澄清。</w:t>
      </w:r>
    </w:p>
    <w:p>
      <w:pPr>
        <w:spacing w:line="440" w:lineRule="exact"/>
        <w:ind w:firstLine="420"/>
        <w:rPr>
          <w:rFonts w:ascii="Times New Roman" w:hAnsi="Times New Roman" w:cs="Times New Roman"/>
          <w:strike/>
          <w:highlight w:val="none"/>
        </w:rPr>
      </w:pPr>
      <w:r>
        <w:rPr>
          <w:rFonts w:ascii="Times New Roman" w:hAnsi="Times New Roman" w:cs="Times New Roman"/>
          <w:highlight w:val="none"/>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评审结果</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完成评审后，应当向采购人提交评审报告。评审报告应当如实记载以下内容：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（一）采购项目基本情况</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（二）采购过程回顾</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（三）评审小组成员名单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（四）询比评审工作</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1、</w:t>
      </w:r>
      <w:r>
        <w:rPr>
          <w:rFonts w:ascii="Times New Roman" w:hAnsi="Times New Roman" w:cs="Times New Roman"/>
          <w:highlight w:val="none"/>
        </w:rPr>
        <w:t>评审办法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2、初步评审情况（资格审查、形式性审查、响应性审查）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详细评审情况（</w:t>
      </w:r>
      <w:r>
        <w:rPr>
          <w:rFonts w:ascii="Times New Roman" w:hAnsi="Times New Roman" w:cs="Times New Roman"/>
          <w:highlight w:val="none"/>
        </w:rPr>
        <w:t>供应商的</w:t>
      </w:r>
      <w:r>
        <w:rPr>
          <w:rFonts w:hint="eastAsia" w:ascii="Times New Roman" w:hAnsi="Times New Roman" w:cs="Times New Roman"/>
          <w:highlight w:val="none"/>
        </w:rPr>
        <w:t>综合</w:t>
      </w:r>
      <w:r>
        <w:rPr>
          <w:rFonts w:ascii="Times New Roman" w:hAnsi="Times New Roman" w:cs="Times New Roman"/>
          <w:highlight w:val="none"/>
        </w:rPr>
        <w:t>评分情况</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4、否决的供应商名单以及否决理由（如有）</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5、</w:t>
      </w:r>
      <w:r>
        <w:rPr>
          <w:rFonts w:ascii="Times New Roman" w:hAnsi="Times New Roman" w:cs="Times New Roman"/>
          <w:highlight w:val="none"/>
        </w:rPr>
        <w:t>推荐候选供应商排序</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（五）需要说明的其他事项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（六）评审附表</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1、</w:t>
      </w:r>
      <w:r>
        <w:rPr>
          <w:rFonts w:ascii="Times New Roman" w:hAnsi="Times New Roman" w:cs="Times New Roman"/>
          <w:highlight w:val="none"/>
        </w:rPr>
        <w:t>响应文件开启记录表</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2、</w:t>
      </w:r>
      <w:r>
        <w:rPr>
          <w:rFonts w:ascii="Times New Roman" w:hAnsi="Times New Roman" w:cs="Times New Roman"/>
          <w:highlight w:val="none"/>
        </w:rPr>
        <w:t>评审表格</w:t>
      </w:r>
    </w:p>
    <w:p>
      <w:pPr>
        <w:spacing w:line="440" w:lineRule="exact"/>
        <w:ind w:firstLine="420"/>
        <w:rPr>
          <w:rFonts w:hint="default" w:ascii="Times New Roman" w:hAnsi="Times New Roman" w:cs="Times New Roman"/>
          <w:color w:val="auto"/>
          <w:highlight w:val="none"/>
          <w:lang w:val="en-US" w:eastAsia="zh-CN"/>
        </w:rPr>
      </w:pPr>
    </w:p>
    <w:p>
      <w:pPr>
        <w:pStyle w:val="7"/>
        <w:rPr>
          <w:rFonts w:hint="default"/>
          <w:highlight w:val="none"/>
        </w:rPr>
      </w:pPr>
    </w:p>
    <w:p>
      <w:pPr>
        <w:rPr>
          <w:rFonts w:hint="default"/>
          <w:highlight w:val="none"/>
        </w:rPr>
      </w:pPr>
    </w:p>
    <w:p>
      <w:pPr>
        <w:pStyle w:val="7"/>
        <w:rPr>
          <w:rFonts w:hint="default"/>
          <w:highlight w:val="none"/>
        </w:rPr>
      </w:pPr>
    </w:p>
    <w:p>
      <w:pPr>
        <w:pStyle w:val="7"/>
        <w:rPr>
          <w:rFonts w:ascii="Times New Roman" w:hAnsi="Times New Roman"/>
          <w:highlight w:val="none"/>
        </w:rPr>
      </w:pPr>
    </w:p>
    <w:p>
      <w:pPr>
        <w:rPr>
          <w:rFonts w:ascii="Times New Roman" w:hAnsi="Times New Roman" w:eastAsia="宋体" w:cs="Times New Roman"/>
          <w:highlight w:val="none"/>
        </w:rPr>
      </w:pPr>
      <w:r>
        <w:rPr>
          <w:rFonts w:ascii="Times New Roman" w:hAnsi="Times New Roman" w:eastAsia="宋体" w:cs="Times New Roman"/>
          <w:highlight w:val="none"/>
        </w:rPr>
        <w:br w:type="page"/>
      </w:r>
    </w:p>
    <w:p>
      <w:pPr>
        <w:pStyle w:val="7"/>
        <w:rPr>
          <w:highlight w:val="none"/>
        </w:rPr>
      </w:pPr>
    </w:p>
    <w:p>
      <w:pPr>
        <w:pStyle w:val="19"/>
        <w:rPr>
          <w:rFonts w:ascii="Times New Roman" w:hAnsi="Times New Roman" w:eastAsia="宋体" w:cs="Times New Roman"/>
          <w:highlight w:val="none"/>
        </w:rPr>
      </w:pPr>
    </w:p>
    <w:p>
      <w:pPr>
        <w:pStyle w:val="19"/>
        <w:rPr>
          <w:rFonts w:ascii="Times New Roman" w:hAnsi="Times New Roman" w:eastAsia="宋体" w:cs="Times New Roman"/>
          <w:highlight w:val="none"/>
        </w:rPr>
      </w:pPr>
    </w:p>
    <w:p>
      <w:pPr>
        <w:pStyle w:val="2"/>
        <w:numPr>
          <w:ilvl w:val="0"/>
          <w:numId w:val="0"/>
        </w:numPr>
        <w:spacing w:before="312" w:after="312"/>
        <w:ind w:leftChars="0"/>
        <w:jc w:val="center"/>
        <w:rPr>
          <w:rFonts w:ascii="Times New Roman" w:hAnsi="Times New Roman" w:eastAsia="宋体" w:cs="Times New Roman"/>
          <w:highlight w:val="none"/>
        </w:rPr>
      </w:pPr>
      <w:bookmarkStart w:id="60" w:name="_Toc25343"/>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bookmarkEnd w:id="60"/>
    </w:p>
    <w:p>
      <w:pPr>
        <w:rPr>
          <w:highlight w:val="none"/>
        </w:rPr>
      </w:pPr>
    </w:p>
    <w:p>
      <w:pPr>
        <w:pStyle w:val="2"/>
        <w:numPr>
          <w:ilvl w:val="255"/>
          <w:numId w:val="0"/>
        </w:numPr>
        <w:spacing w:before="312" w:after="312"/>
        <w:ind w:left="402"/>
        <w:outlineLvl w:val="9"/>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pStyle w:val="7"/>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pStyle w:val="32"/>
        <w:rPr>
          <w:rFonts w:hint="eastAsia" w:ascii="Times New Roman" w:hAnsi="Times New Roman" w:eastAsia="宋体" w:cs="Times New Roman"/>
          <w:highlight w:val="none"/>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bookmarkStart w:id="61" w:name="_Toc24422"/>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1.本合同总价人民币大写：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各类税费、小型机械与工具费、管理费、利润、材料费（含辅材）、专用工具费、缺陷修复费、水电费、成品保护费、所有保险费、措施费(内含垃圾清运、现场用于搭拆临时施工用架体、后期服务等费用)、运输费、深化设计费(如有)、材料检测费、检验试验费、材料装卸车费、加工费、安装费、第三方检测费(如有)、验收费、安全监督费用、试运行费、交通、风险、保洁、协调及完成本合同范围工作内容的安全费用、技术费用、措施费用、乙方人员保险费用以及与货物供应可能产生的所有成本和费用</w:t>
      </w:r>
      <w:r>
        <w:rPr>
          <w:rFonts w:hint="eastAsia" w:ascii="仿宋_GB2312" w:hAnsi="仿宋_GB2312" w:eastAsia="仿宋_GB2312" w:cs="仿宋_GB2312"/>
          <w:color w:val="auto"/>
          <w:kern w:val="2"/>
          <w:sz w:val="28"/>
          <w:szCs w:val="28"/>
          <w:highlight w:val="none"/>
          <w:lang w:val="en-US" w:eastAsia="zh-CN" w:bidi="ar-SA"/>
        </w:rPr>
        <w:t>。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2  </w:t>
      </w:r>
      <w:r>
        <w:rPr>
          <w:rFonts w:hint="eastAsia" w:ascii="仿宋_GB2312" w:hAnsi="仿宋_GB2312" w:eastAsia="仿宋_GB2312" w:cs="仿宋_GB2312"/>
          <w:color w:val="auto"/>
          <w:sz w:val="28"/>
          <w:szCs w:val="28"/>
          <w:highlight w:val="none"/>
          <w:lang w:val="en-US" w:eastAsia="zh-CN"/>
        </w:rPr>
        <w:t>年，质量保证期（以下简称质保期）为交工验收</w:t>
      </w:r>
      <w:r>
        <w:rPr>
          <w:rFonts w:hint="eastAsia" w:ascii="仿宋_GB2312" w:hAnsi="仿宋_GB2312" w:eastAsia="仿宋_GB2312" w:cs="仿宋_GB2312"/>
          <w:color w:val="auto"/>
          <w:sz w:val="28"/>
          <w:szCs w:val="28"/>
          <w:highlight w:val="none"/>
          <w:lang w:val="en-US" w:eastAsia="zh-CN"/>
        </w:rPr>
        <w:t>合格后</w:t>
      </w:r>
      <w:r>
        <w:rPr>
          <w:rFonts w:hint="eastAsia" w:ascii="仿宋_GB2312" w:hAnsi="仿宋_GB2312" w:eastAsia="仿宋_GB2312" w:cs="仿宋_GB2312"/>
          <w:color w:val="auto"/>
          <w:sz w:val="28"/>
          <w:szCs w:val="28"/>
          <w:highlight w:val="none"/>
          <w:u w:val="single"/>
          <w:lang w:val="en-US" w:eastAsia="zh-CN"/>
        </w:rPr>
        <w:t xml:space="preserve">  2  </w:t>
      </w:r>
      <w:r>
        <w:rPr>
          <w:rFonts w:hint="eastAsia" w:ascii="仿宋_GB2312" w:hAnsi="仿宋_GB2312" w:eastAsia="仿宋_GB2312" w:cs="仿宋_GB2312"/>
          <w:color w:val="auto"/>
          <w:sz w:val="28"/>
          <w:szCs w:val="28"/>
          <w:highlight w:val="none"/>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1.货到工地经甲方指定签收人验收合格并签收后，甲方按该批验收合格货物价款的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%支付进度款。</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2.产品全部安装完毕，经甲方指定签收人验收合格并签字，办理完成结算手续后，甲方向乙方支付至结算价的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3.甲方预留最终审定金额的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%作为质保金，在缺陷责任期后无质量问题一次性无息支付。</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最终结算乙方需派专业造价人员编制终期结算单，经甲方确认后方可作为价款结算和付款依据。若因乙方迟延提交对账清单，因此造成的损失由乙方自行承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5.乙方提供符合采购人财务要求的国家税务局13%增值税专用发票后办理结算，发票需要做到“三流一致”，也即“货物、劳务及应税服务流”、“资金流”、“发票流”必须都是同一受票方。</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若逾期交货，需支付甲方逾期交货部分价款每日5%的违约金，迟延交付超过3日的，甲方有权解除合同，或将乙方承担的一部分供货任务交由其他供货商供应；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交付的货物不符合约定标准，按合同总价款20%向甲方支付违约金。同时应在3日内履行更换义务，更由此换后的货物仍不符合原定质量要求的，甲方可解除合同。甲方解除合同的，乙方须向甲方支付合同总价款20%违约金，并应赔偿甲方造成的全部损失，同时承担甲方由此支付的诉讼费、律师费等实现债权的费用。</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2.本合同自甲乙双方签字盖章之日起生效。</w:t>
      </w:r>
    </w:p>
    <w:p>
      <w:pPr>
        <w:pStyle w:val="7"/>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pPr>
        <w:bidi w:val="0"/>
        <w:rPr>
          <w:rFonts w:hint="eastAsia"/>
          <w:highlight w:val="none"/>
          <w:lang w:val="en-US" w:eastAsia="zh-CN"/>
        </w:rPr>
      </w:pPr>
    </w:p>
    <w:p>
      <w:pPr>
        <w:pStyle w:val="7"/>
        <w:bidi w:val="0"/>
        <w:rPr>
          <w:rFonts w:hint="eastAsia"/>
          <w:highlight w:val="none"/>
          <w:lang w:val="en-US" w:eastAsia="zh-CN"/>
        </w:rPr>
      </w:pPr>
    </w:p>
    <w:p>
      <w:pPr>
        <w:pStyle w:val="7"/>
        <w:bidi w:val="0"/>
        <w:rPr>
          <w:rFonts w:hint="eastAsia"/>
          <w:highlight w:val="none"/>
          <w:lang w:val="en-US" w:eastAsia="zh-CN"/>
        </w:rPr>
      </w:pPr>
    </w:p>
    <w:p>
      <w:pPr>
        <w:pStyle w:val="7"/>
        <w:bidi w:val="0"/>
        <w:rPr>
          <w:rFonts w:hint="eastAsia"/>
          <w:highlight w:val="none"/>
          <w:lang w:val="en-US" w:eastAsia="zh-CN"/>
        </w:rPr>
      </w:pPr>
    </w:p>
    <w:p>
      <w:pPr>
        <w:bidi w:val="0"/>
        <w:rPr>
          <w:rFonts w:hint="eastAsia"/>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eastAsia="zh-CN"/>
        </w:rPr>
      </w:pPr>
    </w:p>
    <w:p>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pPr>
        <w:pStyle w:val="7"/>
        <w:widowControl w:val="0"/>
        <w:numPr>
          <w:ilvl w:val="0"/>
          <w:numId w:val="0"/>
        </w:numPr>
        <w:spacing w:after="120"/>
        <w:jc w:val="both"/>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pStyle w:val="7"/>
        <w:rPr>
          <w:rFonts w:hint="eastAsia"/>
          <w:highlight w:val="none"/>
          <w:lang w:val="en-US" w:eastAsia="zh-CN"/>
        </w:rPr>
      </w:pPr>
    </w:p>
    <w:p>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三</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pPr>
        <w:pStyle w:val="19"/>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pPr>
        <w:pStyle w:val="7"/>
        <w:rPr>
          <w:rFonts w:hint="eastAsia"/>
          <w:color w:val="auto"/>
          <w:highlight w:val="none"/>
          <w:lang w:val="en-US" w:eastAsia="zh-CN"/>
        </w:rPr>
      </w:pPr>
    </w:p>
    <w:p>
      <w:pPr>
        <w:pStyle w:val="8"/>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pStyle w:val="2"/>
        <w:numPr>
          <w:ilvl w:val="255"/>
          <w:numId w:val="0"/>
        </w:numPr>
        <w:spacing w:before="312" w:after="312"/>
        <w:ind w:left="402"/>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第五章 供货要</w:t>
      </w:r>
      <w:r>
        <w:rPr>
          <w:rFonts w:ascii="Times New Roman" w:hAnsi="Times New Roman" w:eastAsia="宋体" w:cs="Times New Roman"/>
          <w:highlight w:val="none"/>
        </w:rPr>
        <w:t>求及清单</w:t>
      </w:r>
      <w:bookmarkEnd w:id="61"/>
    </w:p>
    <w:p>
      <w:pPr>
        <w:pStyle w:val="8"/>
        <w:keepNext w:val="0"/>
        <w:keepLines w:val="0"/>
        <w:pageBreakBefore w:val="0"/>
        <w:widowControl w:val="0"/>
        <w:kinsoku/>
        <w:wordWrap/>
        <w:overflowPunct/>
        <w:topLinePunct w:val="0"/>
        <w:autoSpaceDE/>
        <w:autoSpaceDN/>
        <w:bidi w:val="0"/>
        <w:adjustRightInd/>
        <w:snapToGrid w:val="0"/>
        <w:spacing w:line="360" w:lineRule="auto"/>
        <w:ind w:firstLine="442" w:firstLineChars="200"/>
        <w:jc w:val="both"/>
        <w:textAlignment w:val="auto"/>
        <w:rPr>
          <w:rStyle w:val="43"/>
          <w:rFonts w:hint="default" w:asciiTheme="minorEastAsia" w:hAnsiTheme="minorEastAsia" w:eastAsiaTheme="minorEastAsia" w:cstheme="minorEastAsia"/>
          <w:b/>
          <w:bCs/>
          <w:kern w:val="2"/>
          <w:highlight w:val="none"/>
          <w:lang w:val="en-US" w:eastAsia="zh-CN" w:bidi="ar"/>
        </w:rPr>
      </w:pPr>
      <w:r>
        <w:rPr>
          <w:rStyle w:val="43"/>
          <w:rFonts w:hint="eastAsia" w:asciiTheme="minorEastAsia" w:hAnsiTheme="minorEastAsia" w:cstheme="minorEastAsia"/>
          <w:b/>
          <w:bCs/>
          <w:kern w:val="2"/>
          <w:highlight w:val="none"/>
          <w:lang w:val="en-US" w:eastAsia="zh-CN" w:bidi="ar"/>
        </w:rPr>
        <w:t>详见附件清单。</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42" w:firstLineChars="200"/>
        <w:jc w:val="both"/>
        <w:textAlignment w:val="auto"/>
        <w:rPr>
          <w:rStyle w:val="43"/>
          <w:rFonts w:hint="eastAsia" w:asciiTheme="minorEastAsia" w:hAnsiTheme="minorEastAsia" w:eastAsiaTheme="minorEastAsia" w:cstheme="minorEastAsia"/>
          <w:b/>
          <w:bCs/>
          <w:kern w:val="2"/>
          <w:highlight w:val="none"/>
          <w:lang w:val="en-US" w:eastAsia="zh-CN" w:bidi="ar"/>
        </w:rPr>
      </w:pPr>
      <w:r>
        <w:rPr>
          <w:rStyle w:val="43"/>
          <w:rFonts w:hint="eastAsia" w:asciiTheme="minorEastAsia" w:hAnsiTheme="minorEastAsia" w:eastAsiaTheme="minorEastAsia" w:cstheme="minorEastAsia"/>
          <w:b/>
          <w:bCs/>
          <w:kern w:val="2"/>
          <w:highlight w:val="none"/>
          <w:lang w:val="en-US" w:eastAsia="zh-CN" w:bidi="ar"/>
        </w:rPr>
        <w:t>备注：单价为综合单价系货物到达甲方指定交货地点的一切费用</w:t>
      </w:r>
      <w:r>
        <w:rPr>
          <w:rStyle w:val="43"/>
          <w:rFonts w:hint="eastAsia" w:asciiTheme="minorEastAsia" w:hAnsiTheme="minorEastAsia" w:cstheme="minorEastAsia"/>
          <w:b/>
          <w:bCs/>
          <w:kern w:val="2"/>
          <w:highlight w:val="none"/>
          <w:lang w:val="en-US" w:eastAsia="zh-CN" w:bidi="ar"/>
        </w:rPr>
        <w:t>，</w:t>
      </w:r>
      <w:r>
        <w:rPr>
          <w:rStyle w:val="43"/>
          <w:rFonts w:hint="eastAsia" w:asciiTheme="minorEastAsia" w:hAnsiTheme="minorEastAsia" w:eastAsiaTheme="minorEastAsia" w:cstheme="minorEastAsia"/>
          <w:b/>
          <w:bCs/>
          <w:kern w:val="2"/>
          <w:highlight w:val="none"/>
          <w:lang w:val="en-US" w:eastAsia="zh-CN" w:bidi="ar"/>
        </w:rPr>
        <w:t>包含材料的成本、利润、税费</w:t>
      </w:r>
      <w:r>
        <w:rPr>
          <w:rStyle w:val="43"/>
          <w:rFonts w:hint="eastAsia" w:asciiTheme="minorEastAsia" w:hAnsiTheme="minorEastAsia" w:cstheme="minorEastAsia"/>
          <w:b/>
          <w:bCs/>
          <w:kern w:val="2"/>
          <w:highlight w:val="none"/>
          <w:lang w:val="en-US" w:eastAsia="zh-CN" w:bidi="ar"/>
        </w:rPr>
        <w:t>（13%增值税）</w:t>
      </w:r>
      <w:r>
        <w:rPr>
          <w:rStyle w:val="43"/>
          <w:rFonts w:hint="eastAsia" w:asciiTheme="minorEastAsia" w:hAnsiTheme="minorEastAsia" w:eastAsiaTheme="minorEastAsia" w:cstheme="minorEastAsia"/>
          <w:b/>
          <w:bCs/>
          <w:kern w:val="2"/>
          <w:highlight w:val="none"/>
          <w:lang w:val="en-US" w:eastAsia="zh-CN" w:bidi="ar"/>
        </w:rPr>
        <w:t>、运输费、损耗费、装卸</w:t>
      </w:r>
      <w:r>
        <w:rPr>
          <w:rStyle w:val="43"/>
          <w:rFonts w:hint="eastAsia" w:asciiTheme="minorEastAsia" w:hAnsiTheme="minorEastAsia" w:cstheme="minorEastAsia"/>
          <w:b/>
          <w:bCs/>
          <w:kern w:val="2"/>
          <w:highlight w:val="none"/>
          <w:lang w:val="en-US" w:eastAsia="zh-CN" w:bidi="ar"/>
        </w:rPr>
        <w:t>费</w:t>
      </w:r>
      <w:r>
        <w:rPr>
          <w:rStyle w:val="43"/>
          <w:rFonts w:hint="eastAsia" w:asciiTheme="minorEastAsia" w:hAnsiTheme="minorEastAsia" w:eastAsiaTheme="minorEastAsia" w:cstheme="minorEastAsia"/>
          <w:b/>
          <w:bCs/>
          <w:kern w:val="2"/>
          <w:highlight w:val="none"/>
          <w:lang w:val="en-US" w:eastAsia="zh-CN" w:bidi="ar"/>
        </w:rPr>
        <w:t>、检测费</w:t>
      </w:r>
      <w:r>
        <w:rPr>
          <w:rStyle w:val="43"/>
          <w:rFonts w:hint="eastAsia" w:asciiTheme="minorEastAsia" w:hAnsiTheme="minorEastAsia" w:cstheme="minorEastAsia"/>
          <w:b/>
          <w:bCs/>
          <w:kern w:val="2"/>
          <w:highlight w:val="none"/>
          <w:lang w:val="en-US" w:eastAsia="zh-CN" w:bidi="ar"/>
        </w:rPr>
        <w:t>（如有）</w:t>
      </w:r>
      <w:r>
        <w:rPr>
          <w:rStyle w:val="43"/>
          <w:rFonts w:hint="eastAsia" w:asciiTheme="minorEastAsia" w:hAnsiTheme="minorEastAsia" w:eastAsiaTheme="minorEastAsia" w:cstheme="minorEastAsia"/>
          <w:b/>
          <w:bCs/>
          <w:kern w:val="2"/>
          <w:highlight w:val="none"/>
          <w:lang w:val="en-US" w:eastAsia="zh-CN" w:bidi="ar"/>
        </w:rPr>
        <w:t>、技术服务、商业保险费</w:t>
      </w:r>
      <w:r>
        <w:rPr>
          <w:rStyle w:val="43"/>
          <w:rFonts w:hint="eastAsia" w:asciiTheme="minorEastAsia" w:hAnsiTheme="minorEastAsia" w:cstheme="minorEastAsia"/>
          <w:b/>
          <w:bCs/>
          <w:kern w:val="2"/>
          <w:highlight w:val="none"/>
          <w:lang w:val="en-US" w:eastAsia="zh-CN" w:bidi="ar"/>
        </w:rPr>
        <w:t>（如有）</w:t>
      </w:r>
      <w:r>
        <w:rPr>
          <w:rStyle w:val="43"/>
          <w:rFonts w:hint="eastAsia" w:asciiTheme="minorEastAsia" w:hAnsiTheme="minorEastAsia" w:eastAsiaTheme="minorEastAsia" w:cstheme="minorEastAsia"/>
          <w:b/>
          <w:bCs/>
          <w:kern w:val="2"/>
          <w:highlight w:val="none"/>
          <w:lang w:val="en-US" w:eastAsia="zh-CN" w:bidi="ar"/>
        </w:rPr>
        <w:t>、验收费等为履行本合同义务所需的一切费用及承担的风险，为固定单价。</w:t>
      </w:r>
    </w:p>
    <w:p>
      <w:pP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br w:type="page"/>
      </w:r>
    </w:p>
    <w:p>
      <w:pPr>
        <w:pStyle w:val="2"/>
        <w:numPr>
          <w:ilvl w:val="255"/>
          <w:numId w:val="0"/>
        </w:numPr>
        <w:spacing w:before="312" w:after="312"/>
        <w:ind w:left="402"/>
        <w:rPr>
          <w:rFonts w:hint="eastAsia" w:ascii="Times New Roman" w:hAnsi="Times New Roman" w:eastAsia="宋体" w:cs="Times New Roman"/>
          <w:highlight w:val="none"/>
        </w:rPr>
      </w:pPr>
      <w:bookmarkStart w:id="62" w:name="_Toc7773"/>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bookmarkEnd w:id="62"/>
    </w:p>
    <w:p>
      <w:pPr>
        <w:jc w:val="left"/>
        <w:rPr>
          <w:rFonts w:ascii="Times New Roman" w:hAnsi="Times New Roman" w:eastAsia="宋体" w:cs="Times New Roman"/>
          <w:highlight w:val="none"/>
        </w:rPr>
      </w:pPr>
      <w:r>
        <w:rPr>
          <w:rFonts w:ascii="Times New Roman" w:hAnsi="Times New Roman" w:eastAsia="宋体" w:cs="Times New Roman"/>
          <w:highlight w:val="none"/>
        </w:rPr>
        <w:br w:type="page"/>
      </w:r>
    </w:p>
    <w:p>
      <w:pPr>
        <w:spacing w:line="440" w:lineRule="exact"/>
        <w:jc w:val="center"/>
        <w:rPr>
          <w:rFonts w:hint="eastAsia" w:ascii="宋体" w:hAnsi="宋体" w:eastAsia="宋体" w:cs="宋体"/>
          <w:b/>
          <w:bCs/>
          <w:kern w:val="0"/>
          <w:sz w:val="36"/>
          <w:szCs w:val="36"/>
          <w:highlight w:val="none"/>
          <w:u w:val="single"/>
          <w:lang w:val="en-US" w:eastAsia="zh-CN"/>
        </w:rPr>
      </w:pPr>
    </w:p>
    <w:p>
      <w:pPr>
        <w:spacing w:line="360" w:lineRule="auto"/>
        <w:jc w:val="center"/>
        <w:outlineLvl w:val="0"/>
        <w:rPr>
          <w:rFonts w:hint="eastAsia" w:ascii="微软雅黑" w:hAnsi="微软雅黑" w:eastAsia="微软雅黑" w:cs="微软雅黑"/>
          <w:color w:val="000000"/>
          <w:sz w:val="48"/>
          <w:szCs w:val="48"/>
          <w:highlight w:val="none"/>
          <w:lang w:val="en-US" w:eastAsia="zh-CN"/>
        </w:rPr>
      </w:pPr>
      <w:bookmarkStart w:id="63" w:name="_Toc17365"/>
      <w:bookmarkStart w:id="64" w:name="_Toc3733"/>
      <w:bookmarkStart w:id="65" w:name="_Toc18668_WPSOffice_Level1"/>
      <w:bookmarkStart w:id="66" w:name="_Toc8695_WPSOffice_Level1"/>
      <w:bookmarkStart w:id="67" w:name="_Toc7337"/>
      <w:bookmarkStart w:id="68" w:name="_Toc12530_WPSOffice_Level1"/>
      <w:bookmarkStart w:id="69" w:name="_Toc14563_WPSOffice_Level1"/>
      <w:bookmarkStart w:id="70" w:name="_Toc32350_WPSOffice_Level1"/>
      <w:bookmarkStart w:id="71" w:name="_Toc15033"/>
      <w:bookmarkStart w:id="72" w:name="_Toc31127_WPSOffice_Level1"/>
      <w:bookmarkStart w:id="73" w:name="_Toc28026"/>
      <w:bookmarkStart w:id="74" w:name="_Toc13190_WPSOffice_Level1"/>
      <w:r>
        <w:rPr>
          <w:rFonts w:hint="eastAsia" w:ascii="微软雅黑" w:hAnsi="微软雅黑" w:eastAsia="微软雅黑" w:cs="微软雅黑"/>
          <w:color w:val="000000"/>
          <w:sz w:val="48"/>
          <w:szCs w:val="48"/>
          <w:highlight w:val="none"/>
          <w:u w:val="single"/>
          <w:lang w:val="en-US" w:eastAsia="zh-CN"/>
        </w:rPr>
        <w:t xml:space="preserve">           </w:t>
      </w:r>
      <w:r>
        <w:rPr>
          <w:rFonts w:hint="eastAsia" w:ascii="微软雅黑" w:hAnsi="微软雅黑" w:eastAsia="微软雅黑" w:cs="微软雅黑"/>
          <w:color w:val="000000"/>
          <w:sz w:val="48"/>
          <w:szCs w:val="48"/>
          <w:highlight w:val="none"/>
          <w:lang w:val="en-US" w:eastAsia="zh-CN"/>
        </w:rPr>
        <w:t>项目</w:t>
      </w:r>
      <w:bookmarkEnd w:id="63"/>
      <w:bookmarkEnd w:id="64"/>
      <w:r>
        <w:rPr>
          <w:rFonts w:hint="eastAsia" w:ascii="微软雅黑" w:hAnsi="微软雅黑" w:eastAsia="微软雅黑" w:cs="微软雅黑"/>
          <w:color w:val="000000"/>
          <w:sz w:val="48"/>
          <w:szCs w:val="48"/>
          <w:highlight w:val="none"/>
          <w:lang w:val="en-US" w:eastAsia="zh-CN"/>
        </w:rPr>
        <w:t xml:space="preserve">   </w:t>
      </w:r>
    </w:p>
    <w:p>
      <w:pPr>
        <w:spacing w:line="440" w:lineRule="exact"/>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t xml:space="preserve"> </w:t>
      </w:r>
    </w:p>
    <w:p>
      <w:pPr>
        <w:spacing w:line="440" w:lineRule="exact"/>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jc w:val="center"/>
        <w:rPr>
          <w:rFonts w:ascii="Times New Roman" w:hAnsi="Times New Roman" w:eastAsia="黑体" w:cs="Times New Roman"/>
          <w:color w:val="auto"/>
          <w:sz w:val="50"/>
          <w:szCs w:val="50"/>
          <w:highlight w:val="none"/>
        </w:rPr>
      </w:pPr>
      <w:bookmarkStart w:id="75" w:name="_Toc26260_WPSOffice_Level1"/>
      <w:bookmarkStart w:id="76" w:name="_Toc25266_WPSOffice_Level1"/>
      <w:bookmarkStart w:id="77" w:name="_Toc15083_WPSOffice_Level1"/>
      <w:r>
        <w:rPr>
          <w:rFonts w:ascii="Times New Roman" w:hAnsi="Times New Roman" w:eastAsia="黑体" w:cs="Times New Roman"/>
          <w:color w:val="auto"/>
          <w:sz w:val="50"/>
          <w:szCs w:val="50"/>
          <w:highlight w:val="none"/>
        </w:rPr>
        <w:t>响  应  文  件</w:t>
      </w:r>
      <w:bookmarkEnd w:id="75"/>
      <w:bookmarkEnd w:id="76"/>
      <w:bookmarkEnd w:id="77"/>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78" w:name="_Toc25232_WPSOffice_Level2"/>
      <w:bookmarkStart w:id="79" w:name="_Toc2006_WPSOffice_Level2"/>
      <w:bookmarkStart w:id="80" w:name="_Toc21458_WPSOffice_Level2"/>
      <w:bookmarkStart w:id="81" w:name="_Toc23599_WPSOffice_Level2"/>
      <w:bookmarkStart w:id="82" w:name="_Toc16389_WPSOffice_Level1"/>
      <w:bookmarkStart w:id="83" w:name="_Toc14769_WPSOffice_Level2"/>
      <w:bookmarkStart w:id="84" w:name="_Toc5520_WPSOffice_Level2"/>
      <w:bookmarkStart w:id="85" w:name="_Toc3653_WPSOffice_Level1"/>
      <w:bookmarkStart w:id="86" w:name="_Toc28179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(全称、盖单位章)</w:t>
      </w:r>
      <w:bookmarkEnd w:id="78"/>
      <w:bookmarkEnd w:id="79"/>
      <w:bookmarkEnd w:id="80"/>
      <w:bookmarkEnd w:id="81"/>
      <w:bookmarkEnd w:id="82"/>
      <w:bookmarkEnd w:id="83"/>
      <w:bookmarkEnd w:id="84"/>
      <w:bookmarkEnd w:id="85"/>
      <w:bookmarkEnd w:id="86"/>
      <w:r>
        <w:rPr>
          <w:rFonts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7" w:name="_Toc3668_WPSOffice_Level2"/>
      <w:bookmarkStart w:id="88" w:name="_Toc1902_WPSOffice_Level2"/>
      <w:bookmarkStart w:id="89" w:name="_Toc20398_WPSOffice_Level2"/>
      <w:bookmarkStart w:id="90" w:name="_Toc31577_WPSOffice_Level2"/>
      <w:bookmarkStart w:id="91" w:name="_Toc30382_WPSOffice_Level1"/>
      <w:bookmarkStart w:id="92" w:name="_Toc20076_WPSOffice_Level2"/>
      <w:bookmarkStart w:id="93" w:name="_Toc21748_WPSOffice_Level1"/>
      <w:bookmarkStart w:id="94" w:name="_Toc30763_WPSOffice_Level2"/>
      <w:bookmarkStart w:id="95" w:name="_Toc3948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7"/>
      <w:bookmarkEnd w:id="88"/>
      <w:bookmarkEnd w:id="89"/>
      <w:bookmarkEnd w:id="90"/>
      <w:bookmarkEnd w:id="91"/>
      <w:bookmarkEnd w:id="92"/>
      <w:bookmarkEnd w:id="93"/>
      <w:bookmarkEnd w:id="94"/>
      <w:bookmarkEnd w:id="95"/>
    </w:p>
    <w:p>
      <w:pPr>
        <w:spacing w:line="440" w:lineRule="exact"/>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96" w:name="_Toc9551_WPSOffice_Level1"/>
      <w:bookmarkStart w:id="97" w:name="_Toc96_WPSOffice_Level1"/>
      <w:bookmarkStart w:id="98" w:name="_Toc22351_WPSOffice_Level2"/>
      <w:bookmarkStart w:id="99" w:name="_Toc31224_WPSOffice_Level2"/>
      <w:bookmarkStart w:id="100" w:name="_Toc24832_WPSOffice_Level2"/>
      <w:bookmarkStart w:id="101" w:name="_Toc29095_WPSOffice_Level2"/>
      <w:bookmarkStart w:id="102" w:name="_Toc882_WPSOffice_Level2"/>
      <w:bookmarkStart w:id="103" w:name="_Toc7952_WPSOffice_Level2"/>
      <w:bookmarkStart w:id="104" w:name="_Toc21974_WPSOffice_Level2"/>
      <w:r>
        <w:rPr>
          <w:rFonts w:ascii="Times New Roman" w:hAnsi="Times New Roman" w:eastAsia="黑体" w:cs="Times New Roman"/>
          <w:color w:val="auto"/>
          <w:sz w:val="28"/>
          <w:szCs w:val="28"/>
          <w:highlight w:val="none"/>
        </w:rPr>
        <w:t>目     录</w:t>
      </w:r>
      <w:bookmarkEnd w:id="96"/>
      <w:bookmarkEnd w:id="97"/>
      <w:bookmarkEnd w:id="98"/>
      <w:bookmarkEnd w:id="99"/>
      <w:bookmarkEnd w:id="100"/>
      <w:bookmarkEnd w:id="101"/>
      <w:bookmarkEnd w:id="102"/>
      <w:bookmarkEnd w:id="103"/>
      <w:bookmarkEnd w:id="104"/>
    </w:p>
    <w:p>
      <w:pPr>
        <w:spacing w:line="440" w:lineRule="exact"/>
        <w:rPr>
          <w:rFonts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5" w:name="_Toc12670_WPSOffice_Level1"/>
      <w:bookmarkStart w:id="106" w:name="_Toc9021_WPSOffice_Level1"/>
      <w:bookmarkStart w:id="107" w:name="_Toc30529_WPSOffice_Level1"/>
      <w:bookmarkStart w:id="108" w:name="_Toc23368_WPSOffice_Level1"/>
      <w:bookmarkStart w:id="109" w:name="_Toc6353_WPSOffice_Level1"/>
      <w:bookmarkStart w:id="110" w:name="_Toc11424_WPSOffice_Level1"/>
      <w:bookmarkStart w:id="111" w:name="_Toc26987_WPSOffice_Level1"/>
      <w:r>
        <w:rPr>
          <w:rFonts w:ascii="Times New Roman" w:hAnsi="Times New Roman" w:eastAsia="黑体" w:cs="Times New Roman"/>
          <w:color w:val="auto"/>
          <w:sz w:val="24"/>
          <w:highlight w:val="none"/>
        </w:rPr>
        <w:t>一、报价函</w:t>
      </w:r>
      <w:bookmarkEnd w:id="105"/>
      <w:bookmarkEnd w:id="106"/>
      <w:bookmarkEnd w:id="107"/>
      <w:bookmarkEnd w:id="108"/>
      <w:bookmarkEnd w:id="109"/>
      <w:bookmarkEnd w:id="110"/>
      <w:bookmarkEnd w:id="111"/>
    </w:p>
    <w:p>
      <w:pPr>
        <w:spacing w:line="440" w:lineRule="exact"/>
        <w:ind w:left="1619" w:leftChars="771"/>
        <w:rPr>
          <w:rFonts w:hint="eastAsia" w:ascii="Times New Roman" w:hAnsi="Times New Roman" w:eastAsia="黑体" w:cs="Times New Roman"/>
          <w:color w:val="auto"/>
          <w:sz w:val="24"/>
          <w:highlight w:val="none"/>
          <w:lang w:eastAsia="zh-CN"/>
        </w:rPr>
      </w:pPr>
      <w:bookmarkStart w:id="112" w:name="_Toc3742_WPSOffice_Level1"/>
      <w:bookmarkStart w:id="113" w:name="_Toc32729_WPSOffice_Level1"/>
      <w:bookmarkStart w:id="114" w:name="_Toc5317_WPSOffice_Level1"/>
      <w:bookmarkStart w:id="115" w:name="_Toc31927_WPSOffice_Level1"/>
      <w:bookmarkStart w:id="116" w:name="_Toc14150_WPSOffice_Level1"/>
      <w:bookmarkStart w:id="117" w:name="_Toc26052_WPSOffice_Level1"/>
      <w:bookmarkStart w:id="118" w:name="_Toc21229_WPSOffice_Level1"/>
      <w:r>
        <w:rPr>
          <w:rFonts w:ascii="Times New Roman" w:hAnsi="Times New Roman" w:eastAsia="黑体" w:cs="Times New Roman"/>
          <w:color w:val="auto"/>
          <w:sz w:val="24"/>
          <w:highlight w:val="none"/>
        </w:rPr>
        <w:t>二、授权委托书</w:t>
      </w:r>
      <w:bookmarkEnd w:id="112"/>
      <w:bookmarkEnd w:id="113"/>
      <w:bookmarkEnd w:id="114"/>
      <w:bookmarkEnd w:id="115"/>
      <w:bookmarkEnd w:id="116"/>
      <w:bookmarkEnd w:id="117"/>
      <w:bookmarkEnd w:id="118"/>
      <w:r>
        <w:rPr>
          <w:rFonts w:hint="eastAsia" w:ascii="Times New Roman" w:hAnsi="Times New Roman" w:eastAsia="黑体" w:cs="Times New Roman"/>
          <w:color w:val="auto"/>
          <w:sz w:val="24"/>
          <w:highlight w:val="none"/>
          <w:lang w:eastAsia="zh-CN"/>
        </w:rPr>
        <w:t>（</w:t>
      </w:r>
      <w:r>
        <w:rPr>
          <w:rFonts w:hint="eastAsia" w:ascii="Times New Roman" w:hAnsi="Times New Roman" w:eastAsia="黑体" w:cs="Times New Roman"/>
          <w:color w:val="auto"/>
          <w:sz w:val="24"/>
          <w:highlight w:val="none"/>
          <w:lang w:val="en-US" w:eastAsia="zh-CN"/>
        </w:rPr>
        <w:t>如有</w:t>
      </w:r>
      <w:r>
        <w:rPr>
          <w:rFonts w:hint="eastAsia" w:ascii="Times New Roman" w:hAnsi="Times New Roman" w:eastAsia="黑体" w:cs="Times New Roman"/>
          <w:color w:val="auto"/>
          <w:sz w:val="24"/>
          <w:highlight w:val="none"/>
          <w:lang w:eastAsia="zh-CN"/>
        </w:rPr>
        <w:t>）</w:t>
      </w:r>
    </w:p>
    <w:p>
      <w:pPr>
        <w:spacing w:line="440" w:lineRule="exact"/>
        <w:ind w:left="1619" w:leftChars="771"/>
        <w:rPr>
          <w:rFonts w:ascii="Times New Roman" w:hAnsi="Times New Roman" w:eastAsia="黑体" w:cs="Times New Roman"/>
          <w:color w:val="auto"/>
          <w:sz w:val="24"/>
          <w:highlight w:val="none"/>
        </w:rPr>
      </w:pPr>
      <w:bookmarkStart w:id="119" w:name="_Toc29085_WPSOffice_Level1"/>
      <w:bookmarkStart w:id="120" w:name="_Toc20535_WPSOffice_Level1"/>
      <w:bookmarkStart w:id="121" w:name="_Toc4728_WPSOffice_Level1"/>
      <w:bookmarkStart w:id="122" w:name="_Toc23356_WPSOffice_Level1"/>
      <w:bookmarkStart w:id="123" w:name="_Toc25965_WPSOffice_Level1"/>
      <w:bookmarkStart w:id="124" w:name="_Toc25652_WPSOffice_Level1"/>
      <w:bookmarkStart w:id="125" w:name="_Toc1182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的报</w:t>
      </w:r>
      <w:bookmarkEnd w:id="119"/>
      <w:r>
        <w:rPr>
          <w:rFonts w:hint="eastAsia" w:ascii="Times New Roman" w:hAnsi="Times New Roman" w:eastAsia="黑体" w:cs="Times New Roman"/>
          <w:color w:val="auto"/>
          <w:sz w:val="24"/>
          <w:highlight w:val="none"/>
          <w:lang w:val="en-US" w:eastAsia="zh-CN"/>
        </w:rPr>
        <w:t>价</w:t>
      </w:r>
      <w:r>
        <w:rPr>
          <w:rFonts w:ascii="Times New Roman" w:hAnsi="Times New Roman" w:eastAsia="黑体" w:cs="Times New Roman"/>
          <w:color w:val="auto"/>
          <w:sz w:val="24"/>
          <w:highlight w:val="none"/>
        </w:rPr>
        <w:t>清单</w:t>
      </w:r>
      <w:bookmarkEnd w:id="120"/>
      <w:bookmarkEnd w:id="121"/>
      <w:bookmarkEnd w:id="122"/>
      <w:bookmarkEnd w:id="123"/>
      <w:bookmarkEnd w:id="124"/>
      <w:bookmarkEnd w:id="125"/>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6" w:name="_Toc7453_WPSOffice_Level1"/>
      <w:bookmarkStart w:id="127" w:name="_Toc18964_WPSOffice_Level1"/>
      <w:bookmarkStart w:id="128" w:name="_Toc10608_WPSOffice_Level1"/>
      <w:bookmarkStart w:id="129" w:name="_Toc7286_WPSOffice_Level1"/>
      <w:bookmarkStart w:id="130" w:name="_Toc23744_WPSOffice_Level1"/>
      <w:bookmarkStart w:id="131" w:name="_Toc24870_WPSOffice_Level1"/>
      <w:bookmarkStart w:id="132" w:name="_Toc27790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26"/>
      <w:bookmarkEnd w:id="127"/>
      <w:bookmarkEnd w:id="128"/>
      <w:bookmarkEnd w:id="129"/>
      <w:r>
        <w:rPr>
          <w:rFonts w:hint="eastAsia" w:ascii="Times New Roman" w:hAnsi="Times New Roman" w:eastAsia="黑体" w:cs="Times New Roman"/>
          <w:color w:val="auto"/>
          <w:sz w:val="24"/>
          <w:highlight w:val="none"/>
          <w:lang w:val="en-US" w:eastAsia="zh-CN"/>
        </w:rPr>
        <w:t>供应商基本情况</w:t>
      </w:r>
      <w:bookmarkEnd w:id="130"/>
      <w:bookmarkEnd w:id="131"/>
      <w:bookmarkEnd w:id="132"/>
    </w:p>
    <w:p>
      <w:pPr>
        <w:spacing w:line="440" w:lineRule="exact"/>
        <w:ind w:left="1619" w:leftChars="771"/>
        <w:rPr>
          <w:rFonts w:hint="default"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五、近年类似业绩情况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33" w:name="_Toc21092_WPSOffice_Level1"/>
      <w:bookmarkStart w:id="134" w:name="_Toc8423_WPSOffice_Level1"/>
      <w:bookmarkStart w:id="135" w:name="_Toc5885_WPSOffice_Level1"/>
      <w:bookmarkStart w:id="136" w:name="_Toc16988_WPSOffice_Level1"/>
      <w:r>
        <w:rPr>
          <w:rFonts w:hint="eastAsia" w:ascii="Times New Roman" w:hAnsi="Times New Roman" w:eastAsia="黑体" w:cs="Times New Roman"/>
          <w:color w:val="auto"/>
          <w:sz w:val="24"/>
          <w:highlight w:val="none"/>
          <w:lang w:val="en-US" w:eastAsia="zh-CN"/>
        </w:rPr>
        <w:t>六、</w:t>
      </w:r>
      <w:bookmarkEnd w:id="133"/>
      <w:bookmarkEnd w:id="134"/>
      <w:bookmarkEnd w:id="135"/>
      <w:bookmarkEnd w:id="136"/>
      <w:r>
        <w:rPr>
          <w:rFonts w:hint="eastAsia" w:ascii="Times New Roman" w:hAnsi="Times New Roman" w:eastAsia="黑体" w:cs="Times New Roman"/>
          <w:color w:val="auto"/>
          <w:sz w:val="24"/>
          <w:highlight w:val="none"/>
          <w:lang w:val="en-US" w:eastAsia="zh-CN"/>
        </w:rPr>
        <w:t>信誉情况</w:t>
      </w:r>
    </w:p>
    <w:p>
      <w:pPr>
        <w:spacing w:line="440" w:lineRule="exact"/>
        <w:ind w:left="1619" w:leftChars="771"/>
        <w:rPr>
          <w:rFonts w:hint="default"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七、其它材料</w:t>
      </w:r>
    </w:p>
    <w:p>
      <w:pPr>
        <w:spacing w:line="440" w:lineRule="exact"/>
        <w:ind w:left="1619" w:leftChars="771"/>
        <w:rPr>
          <w:rFonts w:ascii="Times New Roman" w:hAnsi="Times New Roman" w:eastAsia="黑体" w:cs="Times New Roman"/>
          <w:color w:val="auto"/>
          <w:sz w:val="24"/>
          <w:highlight w:val="none"/>
        </w:rPr>
      </w:pPr>
    </w:p>
    <w:p>
      <w:pPr>
        <w:spacing w:line="440" w:lineRule="exact"/>
        <w:ind w:left="1619" w:leftChars="771"/>
        <w:rPr>
          <w:rFonts w:ascii="Times New Roman" w:hAnsi="Times New Roman" w:eastAsia="黑体" w:cs="Times New Roman"/>
          <w:color w:val="auto"/>
          <w:sz w:val="24"/>
          <w:highlight w:val="none"/>
        </w:rPr>
      </w:pPr>
    </w:p>
    <w:p>
      <w:pPr>
        <w:spacing w:line="440" w:lineRule="exact"/>
        <w:jc w:val="both"/>
        <w:outlineLvl w:val="9"/>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37" w:name="_Toc29334_WPSOffice_Level1"/>
      <w:bookmarkStart w:id="138" w:name="_Toc27336_WPSOffice_Level1"/>
    </w:p>
    <w:p>
      <w:pPr>
        <w:spacing w:line="440" w:lineRule="exact"/>
        <w:jc w:val="center"/>
        <w:outlineLvl w:val="1"/>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一、报价函</w:t>
      </w:r>
      <w:bookmarkEnd w:id="137"/>
      <w:bookmarkEnd w:id="138"/>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p>
    <w:p>
      <w:pPr>
        <w:spacing w:line="400" w:lineRule="exact"/>
        <w:ind w:firstLine="480" w:firstLineChars="200"/>
        <w:rPr>
          <w:rFonts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val="en-US" w:eastAsia="zh-CN"/>
        </w:rPr>
        <w:t xml:space="preserve"> 安徽交控建设工程集团有限公司</w:t>
      </w:r>
      <w:r>
        <w:rPr>
          <w:rFonts w:ascii="Times New Roman" w:hAnsi="Times New Roman" w:cs="Times New Roman"/>
          <w:color w:val="auto"/>
          <w:sz w:val="24"/>
          <w:highlight w:val="none"/>
          <w:u w:val="singl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合同包采购文件的全部内容(含补遗书第__号至第__号)，</w:t>
      </w:r>
      <w:r>
        <w:rPr>
          <w:rFonts w:hint="eastAsia" w:ascii="Times New Roman" w:hAnsi="Times New Roman" w:cs="Times New Roman"/>
          <w:color w:val="auto"/>
          <w:sz w:val="24"/>
          <w:highlight w:val="none"/>
        </w:rPr>
        <w:t>并对此无异议，</w:t>
      </w:r>
      <w:r>
        <w:rPr>
          <w:rFonts w:ascii="Times New Roman" w:hAnsi="Times New Roman" w:cs="Times New Roman"/>
          <w:color w:val="auto"/>
          <w:sz w:val="24"/>
          <w:highlight w:val="none"/>
        </w:rPr>
        <w:t>愿意以人民币(大写)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(小写：¥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)的总报价按合同约定实施和完成</w:t>
      </w:r>
      <w:r>
        <w:rPr>
          <w:rFonts w:hint="eastAsia" w:ascii="Times New Roman" w:hAnsi="Times New Roman" w:cs="Times New Roman"/>
          <w:color w:val="auto"/>
          <w:sz w:val="24"/>
          <w:highlight w:val="none"/>
          <w:lang w:val="en-US" w:eastAsia="zh-CN"/>
        </w:rPr>
        <w:t>本项目</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．如我方成交：</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(2)我方承诺按照采购文件规定向你方递交履约担保</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如有</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(3)我方承诺在合同约定的期限内完成并移交全部合同</w:t>
      </w:r>
      <w:r>
        <w:rPr>
          <w:rFonts w:hint="eastAsia" w:ascii="Times New Roman" w:hAnsi="Times New Roman" w:cs="Times New Roman"/>
          <w:color w:val="auto"/>
          <w:sz w:val="24"/>
          <w:highlight w:val="none"/>
          <w:lang w:val="en-US" w:eastAsia="zh-CN"/>
        </w:rPr>
        <w:t>项目</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.____________。</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00" w:lineRule="exact"/>
        <w:ind w:firstLine="2880" w:firstLineChars="1200"/>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或授权委托人</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名或盖章</w:t>
      </w:r>
      <w:r>
        <w:rPr>
          <w:rFonts w:ascii="Times New Roman" w:hAnsi="Times New Roman" w:cs="Times New Roman"/>
          <w:color w:val="auto"/>
          <w:sz w:val="24"/>
          <w:highlight w:val="none"/>
        </w:rPr>
        <w:t>)</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电话：</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u w:val="none"/>
          <w:lang w:eastAsia="zh-CN"/>
        </w:rPr>
        <w:t>电子</w:t>
      </w:r>
      <w:r>
        <w:rPr>
          <w:rFonts w:hint="eastAsia" w:ascii="Times New Roman" w:hAnsi="Times New Roman" w:cs="Times New Roman"/>
          <w:color w:val="auto"/>
          <w:sz w:val="24"/>
          <w:highlight w:val="none"/>
          <w:u w:val="none"/>
          <w:lang w:val="en-US" w:eastAsia="zh-CN"/>
        </w:rPr>
        <w:t>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440" w:lineRule="exact"/>
        <w:ind w:firstLine="440"/>
        <w:jc w:val="center"/>
        <w:rPr>
          <w:rFonts w:ascii="Times New Roman" w:hAnsi="Times New Roman" w:eastAsia="黑体" w:cs="Times New Roman"/>
          <w:color w:val="auto"/>
          <w:sz w:val="20"/>
          <w:szCs w:val="20"/>
          <w:highlight w:val="none"/>
        </w:rPr>
      </w:pPr>
    </w:p>
    <w:p>
      <w:pPr>
        <w:spacing w:line="440" w:lineRule="exact"/>
        <w:jc w:val="center"/>
        <w:outlineLvl w:val="1"/>
        <w:rPr>
          <w:rFonts w:hint="eastAsia" w:ascii="Times New Roman" w:hAnsi="Times New Roman" w:eastAsia="黑体" w:cs="Times New Roman"/>
          <w:color w:val="auto"/>
          <w:sz w:val="28"/>
          <w:szCs w:val="28"/>
          <w:highlight w:val="none"/>
          <w:lang w:eastAsia="zh-CN"/>
        </w:rPr>
      </w:pPr>
      <w:bookmarkStart w:id="139" w:name="_Toc21389_WPSOffice_Level1"/>
      <w:bookmarkStart w:id="140" w:name="_Toc29236_WPSOffice_Level1"/>
      <w:r>
        <w:rPr>
          <w:rFonts w:ascii="Times New Roman" w:hAnsi="Times New Roman" w:eastAsia="黑体" w:cs="Times New Roman"/>
          <w:color w:val="auto"/>
          <w:sz w:val="28"/>
          <w:szCs w:val="28"/>
          <w:highlight w:val="none"/>
        </w:rPr>
        <w:t>二、</w:t>
      </w:r>
      <w:r>
        <w:rPr>
          <w:rFonts w:hint="default" w:ascii="Times New Roman" w:hAnsi="Times New Roman" w:eastAsia="黑体" w:cs="Times New Roman"/>
          <w:sz w:val="28"/>
          <w:szCs w:val="28"/>
          <w:highlight w:val="none"/>
        </w:rPr>
        <w:t>法定代表人身份证明及授权委托书</w:t>
      </w:r>
    </w:p>
    <w:p>
      <w:pPr>
        <w:spacing w:line="440" w:lineRule="exact"/>
        <w:jc w:val="center"/>
        <w:rPr>
          <w:rFonts w:hint="default" w:ascii="Times New Roman" w:hAnsi="Times New Roman" w:cs="Times New Roman"/>
          <w:sz w:val="28"/>
          <w:szCs w:val="28"/>
          <w:highlight w:val="none"/>
        </w:rPr>
      </w:pPr>
      <w:r>
        <w:rPr>
          <w:rFonts w:hint="default" w:ascii="Times New Roman" w:hAnsi="Times New Roman" w:eastAsia="黑体" w:cs="Times New Roman"/>
          <w:bCs/>
          <w:sz w:val="28"/>
          <w:szCs w:val="28"/>
          <w:highlight w:val="none"/>
        </w:rPr>
        <w:t>2-1 法定代表人身份证明</w:t>
      </w:r>
    </w:p>
    <w:p>
      <w:pPr>
        <w:spacing w:line="440" w:lineRule="exact"/>
        <w:rPr>
          <w:rFonts w:hint="default" w:ascii="Times New Roman" w:hAnsi="Times New Roman" w:cs="Times New Roman"/>
          <w:sz w:val="20"/>
          <w:szCs w:val="20"/>
          <w:highlight w:val="none"/>
        </w:rPr>
      </w:pP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供应商</w:t>
      </w:r>
      <w:r>
        <w:rPr>
          <w:rFonts w:hint="default" w:ascii="Times New Roman" w:hAnsi="Times New Roman" w:cs="Times New Roman"/>
          <w:sz w:val="24"/>
          <w:highlight w:val="none"/>
        </w:rPr>
        <w:t>名称：</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单位性质：</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地址：</w:t>
      </w:r>
      <w:r>
        <w:rPr>
          <w:rFonts w:hint="default" w:ascii="Times New Roman" w:hAnsi="Times New Roman" w:cs="Times New Roman"/>
          <w:sz w:val="24"/>
          <w:highlight w:val="none"/>
          <w:u w:val="single"/>
        </w:rPr>
        <w:t xml:space="preserve">                                   </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成立时间：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经营期限：</w:t>
      </w:r>
      <w:r>
        <w:rPr>
          <w:rFonts w:hint="default" w:ascii="Times New Roman" w:hAnsi="Times New Roman" w:cs="Times New Roman"/>
          <w:sz w:val="24"/>
          <w:highlight w:val="none"/>
          <w:u w:val="single"/>
        </w:rPr>
        <w:t xml:space="preserve">                               </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姓名：</w:t>
      </w:r>
      <w:r>
        <w:rPr>
          <w:rFonts w:hint="default" w:ascii="Times New Roman" w:hAnsi="Times New Roman" w:cs="Times New Roman"/>
          <w:sz w:val="24"/>
          <w:highlight w:val="none"/>
          <w:u w:val="single"/>
        </w:rPr>
        <w:t xml:space="preserve">  </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sz w:val="24"/>
          <w:highlight w:val="none"/>
        </w:rPr>
        <w:t xml:space="preserve"> 性别：</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年龄：</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职务：</w:t>
      </w:r>
      <w:r>
        <w:rPr>
          <w:rFonts w:hint="default" w:ascii="Times New Roman" w:hAnsi="Times New Roman" w:cs="Times New Roman"/>
          <w:sz w:val="24"/>
          <w:highlight w:val="none"/>
          <w:u w:val="single"/>
        </w:rPr>
        <w:t xml:space="preserve">        </w:t>
      </w: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系</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eastAsia="zh-CN"/>
        </w:rPr>
        <w:t>供应商</w:t>
      </w:r>
      <w:r>
        <w:rPr>
          <w:rFonts w:hint="default" w:ascii="Times New Roman" w:hAnsi="Times New Roman" w:cs="Times New Roman"/>
          <w:sz w:val="24"/>
          <w:highlight w:val="none"/>
        </w:rPr>
        <w:t>名称)的法定代表人。</w:t>
      </w:r>
    </w:p>
    <w:p>
      <w:pPr>
        <w:spacing w:line="440" w:lineRule="exact"/>
        <w:ind w:firstLine="480" w:firstLineChars="200"/>
        <w:rPr>
          <w:rFonts w:hint="default" w:ascii="Times New Roman" w:hAnsi="Times New Roman" w:cs="Times New Roman"/>
          <w:sz w:val="24"/>
          <w:highlight w:val="none"/>
        </w:rPr>
      </w:pPr>
    </w:p>
    <w:p>
      <w:pPr>
        <w:spacing w:line="44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特此证明。</w:t>
      </w:r>
    </w:p>
    <w:p>
      <w:pPr>
        <w:spacing w:line="440" w:lineRule="exact"/>
        <w:rPr>
          <w:rFonts w:hint="default" w:ascii="Times New Roman" w:hAnsi="Times New Roman" w:cs="Times New Roman"/>
          <w:sz w:val="24"/>
          <w:highlight w:val="none"/>
        </w:rPr>
      </w:pPr>
    </w:p>
    <w:p>
      <w:pPr>
        <w:spacing w:line="440" w:lineRule="exact"/>
        <w:rPr>
          <w:rFonts w:hint="default" w:ascii="Times New Roman" w:hAnsi="Times New Roman" w:cs="Times New Roman"/>
          <w:sz w:val="24"/>
          <w:highlight w:val="none"/>
        </w:rPr>
      </w:pPr>
    </w:p>
    <w:p>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eastAsia="zh-CN"/>
        </w:rPr>
        <w:t>供应商</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spacing w:line="440" w:lineRule="exact"/>
        <w:jc w:val="center"/>
        <w:outlineLvl w:val="9"/>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年</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月</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日  </w:t>
      </w: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rPr>
          <w:rFonts w:hint="default" w:ascii="Times New Roman" w:hAnsi="Times New Roman" w:cs="Times New Roman"/>
          <w:sz w:val="24"/>
          <w:highlight w:val="none"/>
        </w:rPr>
      </w:pPr>
    </w:p>
    <w:p>
      <w:pPr>
        <w:pStyle w:val="19"/>
        <w:tabs>
          <w:tab w:val="left" w:pos="1078"/>
          <w:tab w:val="left" w:pos="1176"/>
          <w:tab w:val="left" w:pos="1638"/>
          <w:tab w:val="left" w:pos="3920"/>
          <w:tab w:val="left" w:pos="5670"/>
        </w:tabs>
        <w:ind w:left="0" w:leftChars="0" w:firstLine="0" w:firstLineChars="0"/>
        <w:rPr>
          <w:rFonts w:hint="default" w:ascii="Times New Roman" w:hAnsi="Times New Roman" w:cs="Times New Roman"/>
          <w:sz w:val="24"/>
          <w:highlight w:val="none"/>
        </w:rPr>
      </w:pPr>
    </w:p>
    <w:p>
      <w:pPr>
        <w:pStyle w:val="18"/>
        <w:rPr>
          <w:rFonts w:hint="default" w:ascii="Times New Roman" w:hAnsi="Times New Roman" w:cs="Times New Roman"/>
          <w:sz w:val="24"/>
          <w:highlight w:val="none"/>
        </w:rPr>
      </w:pPr>
    </w:p>
    <w:p>
      <w:pPr>
        <w:pStyle w:val="18"/>
        <w:rPr>
          <w:rFonts w:hint="default" w:ascii="Times New Roman" w:hAnsi="Times New Roman" w:cs="Times New Roman"/>
          <w:sz w:val="24"/>
          <w:highlight w:val="none"/>
        </w:rPr>
      </w:pPr>
    </w:p>
    <w:p>
      <w:pPr>
        <w:pStyle w:val="18"/>
        <w:rPr>
          <w:rFonts w:hint="default" w:ascii="Times New Roman" w:hAnsi="Times New Roman" w:cs="Times New Roman"/>
          <w:sz w:val="24"/>
          <w:highlight w:val="none"/>
        </w:rPr>
      </w:pPr>
    </w:p>
    <w:p>
      <w:pPr>
        <w:spacing w:line="440" w:lineRule="exact"/>
        <w:jc w:val="center"/>
        <w:outlineLvl w:val="9"/>
        <w:rPr>
          <w:rFonts w:hint="eastAsia" w:ascii="Times New Roman" w:hAnsi="Times New Roman" w:eastAsia="黑体" w:cs="Times New Roman"/>
          <w:color w:val="auto"/>
          <w:sz w:val="28"/>
          <w:szCs w:val="28"/>
          <w:highlight w:val="none"/>
          <w:lang w:eastAsia="zh-CN"/>
        </w:rPr>
      </w:pPr>
      <w:r>
        <w:rPr>
          <w:rFonts w:hint="eastAsia" w:ascii="Times New Roman" w:hAnsi="Times New Roman" w:eastAsia="黑体" w:cs="Times New Roman"/>
          <w:color w:val="auto"/>
          <w:sz w:val="28"/>
          <w:szCs w:val="28"/>
          <w:highlight w:val="none"/>
          <w:lang w:val="en-US" w:eastAsia="zh-CN"/>
        </w:rPr>
        <w:t>2-2</w:t>
      </w:r>
      <w:r>
        <w:rPr>
          <w:rFonts w:ascii="Times New Roman" w:hAnsi="Times New Roman" w:eastAsia="黑体" w:cs="Times New Roman"/>
          <w:color w:val="auto"/>
          <w:sz w:val="28"/>
          <w:szCs w:val="28"/>
          <w:highlight w:val="none"/>
        </w:rPr>
        <w:t>授权委托书</w:t>
      </w:r>
      <w:bookmarkEnd w:id="139"/>
      <w:bookmarkEnd w:id="140"/>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ascii="Times New Roman" w:hAnsi="Times New Roman" w:cs="Times New Roman"/>
          <w:color w:val="auto"/>
          <w:sz w:val="20"/>
          <w:szCs w:val="20"/>
          <w:highlight w:val="none"/>
        </w:rPr>
      </w:pPr>
    </w:p>
    <w:p>
      <w:pPr>
        <w:topLinePunct/>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(供应商名称)的法定代表人，现委托</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为我方代理人。代理人根据授权，以我方名义签署、澄清、说明、补正、递交、撤回、修改</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合同包响应文件、签订合同和处理有关事宜，其法律后果由我方承担。</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委托期限：</w:t>
      </w:r>
      <w:r>
        <w:rPr>
          <w:rFonts w:ascii="Times New Roman" w:hAnsi="Times New Roman" w:cs="Times New Roman"/>
          <w:color w:val="auto"/>
          <w:sz w:val="24"/>
          <w:highlight w:val="none"/>
          <w:u w:val="single"/>
        </w:rPr>
        <w:t>自授权委托之日起至签订合同之日止</w:t>
      </w:r>
      <w:r>
        <w:rPr>
          <w:rFonts w:ascii="Times New Roman" w:hAnsi="Times New Roman" w:cs="Times New Roman"/>
          <w:color w:val="auto"/>
          <w:sz w:val="24"/>
          <w:highlight w:val="none"/>
        </w:rPr>
        <w:t>。</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spacing w:line="440" w:lineRule="exact"/>
        <w:ind w:firstLine="480" w:firstLineChars="200"/>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名或盖章</w:t>
      </w:r>
      <w:r>
        <w:rPr>
          <w:rFonts w:ascii="Times New Roman" w:hAnsi="Times New Roman" w:cs="Times New Roman"/>
          <w:color w:val="auto"/>
          <w:sz w:val="24"/>
          <w:highlight w:val="none"/>
        </w:rPr>
        <w:t>)</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名</w:t>
      </w:r>
      <w:r>
        <w:rPr>
          <w:rFonts w:ascii="Times New Roman" w:hAnsi="Times New Roman" w:cs="Times New Roman"/>
          <w:color w:val="auto"/>
          <w:sz w:val="24"/>
          <w:highlight w:val="none"/>
        </w:rPr>
        <w:t>)</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ind w:firstLine="1800" w:firstLineChars="750"/>
        <w:rPr>
          <w:rFonts w:ascii="Times New Roman" w:hAnsi="Times New Roman" w:eastAsia="黑体"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 xml:space="preserve"> </w:t>
      </w:r>
    </w:p>
    <w:p>
      <w:pPr>
        <w:spacing w:line="360" w:lineRule="exact"/>
        <w:ind w:left="360" w:hanging="360" w:hangingChars="200"/>
        <w:rPr>
          <w:rFonts w:ascii="Times New Roman" w:hAnsi="Times New Roman" w:eastAsia="黑体" w:cs="Times New Roman"/>
          <w:color w:val="auto"/>
          <w:sz w:val="18"/>
          <w:szCs w:val="18"/>
          <w:highlight w:val="none"/>
        </w:rPr>
      </w:pPr>
    </w:p>
    <w:p>
      <w:pPr>
        <w:spacing w:line="440" w:lineRule="exact"/>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br w:type="page"/>
      </w:r>
    </w:p>
    <w:p>
      <w:pPr>
        <w:spacing w:line="440" w:lineRule="exact"/>
        <w:jc w:val="center"/>
        <w:outlineLvl w:val="1"/>
        <w:rPr>
          <w:rFonts w:ascii="Times New Roman" w:hAnsi="Times New Roman" w:eastAsia="黑体" w:cs="Times New Roman"/>
          <w:color w:val="auto"/>
          <w:sz w:val="28"/>
          <w:szCs w:val="28"/>
          <w:highlight w:val="none"/>
        </w:rPr>
      </w:pPr>
      <w:bookmarkStart w:id="141" w:name="_Toc1902_WPSOffice_Level1"/>
      <w:bookmarkStart w:id="142" w:name="_Toc202_WPSOffice_Level1"/>
      <w:r>
        <w:rPr>
          <w:rFonts w:hint="eastAsia" w:ascii="Times New Roman" w:hAnsi="Times New Roman" w:eastAsia="黑体" w:cs="Times New Roman"/>
          <w:color w:val="auto"/>
          <w:sz w:val="28"/>
          <w:szCs w:val="28"/>
          <w:highlight w:val="none"/>
          <w:lang w:val="en-US" w:eastAsia="zh-CN"/>
        </w:rPr>
        <w:t>三</w:t>
      </w:r>
      <w:r>
        <w:rPr>
          <w:rFonts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的报价</w:t>
      </w:r>
      <w:r>
        <w:rPr>
          <w:rFonts w:ascii="Times New Roman" w:hAnsi="Times New Roman" w:eastAsia="黑体" w:cs="Times New Roman"/>
          <w:color w:val="auto"/>
          <w:sz w:val="28"/>
          <w:szCs w:val="28"/>
          <w:highlight w:val="none"/>
        </w:rPr>
        <w:t>清单</w:t>
      </w:r>
      <w:bookmarkEnd w:id="141"/>
      <w:bookmarkEnd w:id="142"/>
    </w:p>
    <w:p>
      <w:pPr>
        <w:spacing w:line="440" w:lineRule="exact"/>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pPr>
    </w:p>
    <w:p>
      <w:pPr>
        <w:spacing w:line="440" w:lineRule="exact"/>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请供应商按照响应文件附件清单逐一填写。</w:t>
      </w:r>
    </w:p>
    <w:p>
      <w:pPr>
        <w:bidi w:val="0"/>
        <w:rPr>
          <w:rFonts w:hint="eastAsia"/>
          <w:highlight w:val="none"/>
          <w:lang w:val="en-US" w:eastAsia="zh-CN"/>
        </w:rPr>
      </w:pPr>
    </w:p>
    <w:p>
      <w:pPr>
        <w:bidi w:val="0"/>
        <w:rPr>
          <w:rFonts w:hint="eastAsia"/>
          <w:highlight w:val="none"/>
          <w:lang w:val="en-US" w:eastAsia="zh-CN"/>
        </w:rPr>
      </w:pPr>
    </w:p>
    <w:p>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rPr>
        <w:t>询比文件</w:t>
      </w:r>
      <w:r>
        <w:rPr>
          <w:rFonts w:ascii="宋体" w:hAnsi="宋体"/>
          <w:color w:val="auto"/>
          <w:szCs w:val="21"/>
          <w:highlight w:val="none"/>
          <w:u w:val="none"/>
        </w:rPr>
        <w:t>、合同条款等文件结合起来查阅与理解。</w:t>
      </w:r>
    </w:p>
    <w:p>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rPr>
        <w:t>竞标人在采购清单报价表中填写的综合单价应为竞标人按照询比文件要求完成该项目全部服务内容的费用，包括：报价包含了竞标人的货物费、人工费、材料费、机械费、运输费、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验收</w:t>
      </w:r>
      <w:r>
        <w:rPr>
          <w:rFonts w:hint="eastAsia" w:ascii="宋体" w:hAnsi="宋体"/>
          <w:color w:val="auto"/>
          <w:szCs w:val="21"/>
          <w:highlight w:val="none"/>
          <w:u w:val="none"/>
        </w:rPr>
        <w:t>等所有费用，在合同履行期间不得以任何理由提出综合单价变更的请求。</w:t>
      </w:r>
    </w:p>
    <w:p>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pPr>
        <w:adjustRightInd w:val="0"/>
        <w:snapToGrid w:val="0"/>
        <w:spacing w:line="360" w:lineRule="auto"/>
        <w:ind w:firstLine="420" w:firstLineChars="200"/>
        <w:rPr>
          <w:rFonts w:ascii="宋体" w:hAnsi="宋体"/>
          <w:color w:val="auto"/>
          <w:szCs w:val="21"/>
          <w:highlight w:val="none"/>
          <w:u w:val="double"/>
        </w:rPr>
      </w:pPr>
      <w:r>
        <w:rPr>
          <w:rFonts w:hint="eastAsia" w:ascii="宋体" w:hAnsi="宋体"/>
          <w:color w:val="auto"/>
          <w:szCs w:val="21"/>
          <w:highlight w:val="none"/>
          <w:u w:val="double"/>
          <w:lang w:val="en-US" w:eastAsia="zh-CN"/>
        </w:rPr>
        <w:t>4.</w:t>
      </w:r>
      <w:r>
        <w:rPr>
          <w:rFonts w:ascii="宋体" w:hAnsi="宋体"/>
          <w:color w:val="auto"/>
          <w:szCs w:val="21"/>
          <w:highlight w:val="none"/>
          <w:u w:val="double"/>
        </w:rPr>
        <w:t>采购清单中的各项费用货币单位均为人民币(元)。</w:t>
      </w:r>
    </w:p>
    <w:p>
      <w:pPr>
        <w:widowControl w:val="0"/>
        <w:numPr>
          <w:ilvl w:val="0"/>
          <w:numId w:val="0"/>
        </w:numPr>
        <w:spacing w:line="360" w:lineRule="auto"/>
        <w:jc w:val="both"/>
        <w:rPr>
          <w:rFonts w:hint="default" w:ascii="宋体" w:hAnsi="宋体"/>
          <w:b/>
          <w:color w:val="auto"/>
          <w:highlight w:val="none"/>
          <w:u w:val="none"/>
          <w:lang w:val="en-US" w:eastAsia="zh-CN"/>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opLinePunct w:val="0"/>
        <w:spacing w:line="440" w:lineRule="exact"/>
        <w:ind w:left="0"/>
        <w:jc w:val="center"/>
        <w:outlineLvl w:val="1"/>
        <w:rPr>
          <w:rFonts w:ascii="Times New Roman" w:hAnsi="Times New Roman" w:eastAsia="黑体" w:cs="Times New Roman"/>
          <w:color w:val="auto"/>
          <w:sz w:val="28"/>
          <w:szCs w:val="28"/>
          <w:highlight w:val="none"/>
        </w:rPr>
      </w:pPr>
      <w:bookmarkStart w:id="143" w:name="_Toc19774_WPSOffice_Level1"/>
      <w:bookmarkStart w:id="144" w:name="_Toc22419_WPSOffice_Level1"/>
      <w:r>
        <w:rPr>
          <w:rFonts w:hint="eastAsia" w:ascii="Times New Roman" w:hAnsi="Times New Roman" w:eastAsia="黑体" w:cs="Times New Roman"/>
          <w:color w:val="auto"/>
          <w:sz w:val="28"/>
          <w:szCs w:val="28"/>
          <w:highlight w:val="none"/>
          <w:lang w:val="en-US" w:eastAsia="zh-CN"/>
        </w:rPr>
        <w:t>四</w:t>
      </w:r>
      <w:r>
        <w:rPr>
          <w:rFonts w:ascii="Times New Roman" w:hAnsi="Times New Roman" w:eastAsia="黑体" w:cs="Times New Roman"/>
          <w:color w:val="auto"/>
          <w:sz w:val="28"/>
          <w:szCs w:val="28"/>
          <w:highlight w:val="none"/>
        </w:rPr>
        <w:t>、</w:t>
      </w:r>
      <w:bookmarkStart w:id="145" w:name="_Toc25374_WPSOffice_Level2"/>
      <w:bookmarkStart w:id="146" w:name="_Toc803_WPSOffice_Level2"/>
      <w:r>
        <w:rPr>
          <w:rFonts w:ascii="Times New Roman" w:hAnsi="Times New Roman" w:eastAsia="黑体" w:cs="Times New Roman"/>
          <w:color w:val="auto"/>
          <w:sz w:val="28"/>
          <w:szCs w:val="28"/>
          <w:highlight w:val="none"/>
        </w:rPr>
        <w:t>供应商基本情况</w:t>
      </w:r>
      <w:bookmarkEnd w:id="143"/>
      <w:bookmarkEnd w:id="144"/>
      <w:bookmarkEnd w:id="145"/>
      <w:bookmarkEnd w:id="146"/>
    </w:p>
    <w:p>
      <w:pPr>
        <w:topLinePunct/>
        <w:spacing w:line="440" w:lineRule="exact"/>
        <w:jc w:val="center"/>
        <w:rPr>
          <w:rFonts w:ascii="Times New Roman" w:hAnsi="Times New Roman" w:cs="Times New Roman"/>
          <w:color w:val="auto"/>
          <w:sz w:val="23"/>
          <w:szCs w:val="23"/>
          <w:highlight w:val="none"/>
        </w:rPr>
      </w:pPr>
    </w:p>
    <w:p>
      <w:pPr>
        <w:widowControl/>
        <w:autoSpaceDE w:val="0"/>
        <w:autoSpaceDN w:val="0"/>
        <w:spacing w:line="360" w:lineRule="atLeast"/>
        <w:ind w:left="0" w:leftChars="0" w:firstLine="0" w:firstLineChars="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附</w:t>
      </w:r>
      <w:r>
        <w:rPr>
          <w:rFonts w:hint="eastAsia" w:ascii="Times New Roman" w:hAnsi="Times New Roman" w:eastAsia="黑体" w:cs="Times New Roman"/>
          <w:color w:val="auto"/>
          <w:szCs w:val="21"/>
          <w:highlight w:val="none"/>
          <w:lang w:val="en-US" w:eastAsia="zh-CN"/>
        </w:rPr>
        <w:t>供应商</w:t>
      </w:r>
      <w:r>
        <w:rPr>
          <w:rFonts w:ascii="Times New Roman" w:hAnsi="Times New Roman" w:eastAsia="黑体" w:cs="Times New Roman"/>
          <w:color w:val="auto"/>
          <w:szCs w:val="21"/>
          <w:highlight w:val="none"/>
        </w:rPr>
        <w:t>营业执照、资质证书</w:t>
      </w:r>
      <w:r>
        <w:rPr>
          <w:rFonts w:hint="eastAsia" w:ascii="Times New Roman" w:hAnsi="Times New Roman" w:eastAsia="黑体" w:cs="Times New Roman"/>
          <w:color w:val="auto"/>
          <w:szCs w:val="21"/>
          <w:highlight w:val="none"/>
          <w:lang w:eastAsia="zh-CN"/>
        </w:rPr>
        <w:t>（</w:t>
      </w:r>
      <w:r>
        <w:rPr>
          <w:rFonts w:hint="eastAsia" w:ascii="Times New Roman" w:hAnsi="Times New Roman" w:eastAsia="黑体" w:cs="Times New Roman"/>
          <w:color w:val="auto"/>
          <w:szCs w:val="21"/>
          <w:highlight w:val="none"/>
          <w:lang w:val="en-US" w:eastAsia="zh-CN"/>
        </w:rPr>
        <w:t>如有</w:t>
      </w:r>
      <w:r>
        <w:rPr>
          <w:rFonts w:hint="eastAsia" w:ascii="Times New Roman" w:hAnsi="Times New Roman" w:eastAsia="黑体" w:cs="Times New Roman"/>
          <w:color w:val="auto"/>
          <w:szCs w:val="21"/>
          <w:highlight w:val="none"/>
          <w:lang w:eastAsia="zh-CN"/>
        </w:rPr>
        <w:t>）</w:t>
      </w:r>
      <w:r>
        <w:rPr>
          <w:rFonts w:ascii="Times New Roman" w:hAnsi="Times New Roman" w:eastAsia="黑体" w:cs="Times New Roman"/>
          <w:color w:val="auto"/>
          <w:szCs w:val="21"/>
          <w:highlight w:val="none"/>
        </w:rPr>
        <w:t>、安全生产许可证</w:t>
      </w:r>
      <w:r>
        <w:rPr>
          <w:rFonts w:hint="eastAsia" w:ascii="Times New Roman" w:hAnsi="Times New Roman" w:eastAsia="黑体" w:cs="Times New Roman"/>
          <w:color w:val="auto"/>
          <w:szCs w:val="21"/>
          <w:highlight w:val="none"/>
          <w:lang w:eastAsia="zh-CN"/>
        </w:rPr>
        <w:t>（</w:t>
      </w:r>
      <w:r>
        <w:rPr>
          <w:rFonts w:hint="eastAsia" w:ascii="Times New Roman" w:hAnsi="Times New Roman" w:eastAsia="黑体" w:cs="Times New Roman"/>
          <w:color w:val="auto"/>
          <w:szCs w:val="21"/>
          <w:highlight w:val="none"/>
          <w:lang w:val="en-US" w:eastAsia="zh-CN"/>
        </w:rPr>
        <w:t>如有</w:t>
      </w:r>
      <w:r>
        <w:rPr>
          <w:rFonts w:hint="eastAsia" w:ascii="Times New Roman" w:hAnsi="Times New Roman" w:eastAsia="黑体" w:cs="Times New Roman"/>
          <w:color w:val="auto"/>
          <w:szCs w:val="21"/>
          <w:highlight w:val="none"/>
          <w:lang w:eastAsia="zh-CN"/>
        </w:rPr>
        <w:t>）</w:t>
      </w:r>
      <w:r>
        <w:rPr>
          <w:rFonts w:ascii="Times New Roman" w:hAnsi="Times New Roman" w:eastAsia="黑体" w:cs="Times New Roman"/>
          <w:color w:val="auto"/>
          <w:szCs w:val="21"/>
          <w:highlight w:val="none"/>
        </w:rPr>
        <w:t>及资格审查要求的其他证件复印件。</w:t>
      </w:r>
    </w:p>
    <w:p>
      <w:pPr>
        <w:widowControl/>
        <w:autoSpaceDE w:val="0"/>
        <w:autoSpaceDN w:val="0"/>
        <w:spacing w:line="360" w:lineRule="atLeast"/>
        <w:ind w:left="0" w:leftChars="0" w:firstLine="0" w:firstLineChars="0"/>
        <w:textAlignment w:val="bottom"/>
        <w:rPr>
          <w:rFonts w:ascii="Times New Roman" w:hAnsi="Times New Roman" w:eastAsia="黑体" w:cs="Times New Roman"/>
          <w:color w:val="auto"/>
          <w:szCs w:val="21"/>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供应商</w:t>
            </w:r>
            <w:r>
              <w:rPr>
                <w:rFonts w:hint="default" w:ascii="Times New Roman" w:hAnsi="Times New Roman" w:cs="Times New Roman"/>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w:t>
            </w:r>
            <w:r>
              <w:rPr>
                <w:rFonts w:hint="default"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trike w:val="0"/>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电子</w:t>
            </w:r>
            <w:r>
              <w:rPr>
                <w:rFonts w:hint="default" w:ascii="Times New Roman" w:hAnsi="Times New Roman" w:cs="Times New Roman"/>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szCs w:val="21"/>
                <w:highlight w:val="none"/>
              </w:rPr>
            </w:pPr>
          </w:p>
          <w:p>
            <w:pPr>
              <w:topLinePunct/>
              <w:spacing w:line="440" w:lineRule="exact"/>
              <w:jc w:val="center"/>
              <w:rPr>
                <w:rFonts w:hint="default" w:ascii="Times New Roman" w:hAnsi="Times New Roman" w:cs="Times New Roman"/>
                <w:szCs w:val="21"/>
                <w:highlight w:val="none"/>
              </w:rPr>
            </w:pPr>
          </w:p>
          <w:p>
            <w:pPr>
              <w:topLinePunct/>
              <w:spacing w:line="440" w:lineRule="exact"/>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sz w:val="20"/>
          <w:szCs w:val="20"/>
          <w:highlight w:val="none"/>
        </w:rPr>
      </w:pPr>
      <w:r>
        <w:rPr>
          <w:rFonts w:hint="default" w:ascii="Times New Roman" w:hAnsi="Times New Roman" w:eastAsia="黑体" w:cs="Times New Roman"/>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在本表后应附企业法人营业执照（事业单位法人证书，如有）、资质证书（如有）及资格审查要求的其他证件复印件。</w:t>
      </w:r>
    </w:p>
    <w:p>
      <w:pPr>
        <w:tabs>
          <w:tab w:val="left" w:pos="3060"/>
        </w:tabs>
        <w:topLinePunct/>
        <w:spacing w:line="440" w:lineRule="exact"/>
        <w:jc w:val="center"/>
        <w:rPr>
          <w:rFonts w:ascii="Times New Roman" w:hAnsi="Times New Roman" w:cs="Times New Roman"/>
          <w:sz w:val="28"/>
          <w:szCs w:val="28"/>
          <w:highlight w:val="none"/>
        </w:rPr>
      </w:pPr>
      <w:bookmarkStart w:id="147" w:name="_Toc27072_WPSOffice_Level1"/>
      <w:bookmarkStart w:id="148" w:name="_Toc5889_WPSOffice_Level1"/>
      <w:bookmarkStart w:id="149" w:name="_Toc26594_WPSOffice_Level1"/>
      <w:bookmarkStart w:id="150" w:name="_Toc27376_WPSOffice_Level1"/>
      <w:r>
        <w:rPr>
          <w:rFonts w:hint="eastAsia" w:ascii="Times New Roman" w:hAnsi="Times New Roman" w:eastAsia="黑体" w:cs="Times New Roman"/>
          <w:sz w:val="28"/>
          <w:szCs w:val="28"/>
          <w:highlight w:val="none"/>
          <w:lang w:val="en-US" w:eastAsia="zh-CN"/>
        </w:rPr>
        <w:br w:type="page"/>
      </w:r>
      <w:r>
        <w:rPr>
          <w:rFonts w:hint="eastAsia" w:ascii="Times New Roman" w:hAnsi="Times New Roman" w:eastAsia="黑体" w:cs="Times New Roman"/>
          <w:sz w:val="28"/>
          <w:szCs w:val="28"/>
          <w:highlight w:val="none"/>
          <w:lang w:val="en-US" w:eastAsia="zh-CN"/>
        </w:rPr>
        <w:t>五</w:t>
      </w:r>
      <w:r>
        <w:rPr>
          <w:rFonts w:ascii="Times New Roman" w:hAnsi="Times New Roman" w:eastAsia="黑体" w:cs="Times New Roman"/>
          <w:sz w:val="28"/>
          <w:szCs w:val="28"/>
          <w:highlight w:val="none"/>
        </w:rPr>
        <w:t>、近年类似业绩情况</w:t>
      </w:r>
    </w:p>
    <w:tbl>
      <w:tblPr>
        <w:tblStyle w:val="20"/>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项目名称</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供货地点</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名称</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地址</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电话</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合同价格</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供货期</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供货型号及数量</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项目描述</w:t>
            </w:r>
          </w:p>
        </w:tc>
        <w:tc>
          <w:tcPr>
            <w:tcW w:w="6975"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975" w:type="dxa"/>
          </w:tcPr>
          <w:p>
            <w:pPr>
              <w:topLinePunct/>
              <w:spacing w:line="440" w:lineRule="exact"/>
              <w:rPr>
                <w:rFonts w:ascii="Times New Roman" w:hAnsi="Times New Roman" w:cs="Times New Roman"/>
                <w:szCs w:val="21"/>
                <w:highlight w:val="none"/>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highlight w:val="none"/>
        </w:rPr>
      </w:pPr>
      <w:r>
        <w:rPr>
          <w:rFonts w:ascii="Times New Roman" w:hAnsi="Times New Roman" w:eastAsia="黑体" w:cs="Times New Roman"/>
          <w:sz w:val="20"/>
          <w:szCs w:val="20"/>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1、</w:t>
      </w:r>
      <w:r>
        <w:rPr>
          <w:rFonts w:ascii="Times New Roman" w:hAnsi="Times New Roman" w:eastAsia="黑体" w:cs="Times New Roman"/>
          <w:szCs w:val="21"/>
          <w:highlight w:val="none"/>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2、业绩证明材料要求：_</w:t>
      </w:r>
      <w:r>
        <w:rPr>
          <w:rFonts w:hint="eastAsia" w:ascii="Times New Roman" w:hAnsi="Times New Roman" w:eastAsia="黑体" w:cs="Times New Roman"/>
          <w:szCs w:val="21"/>
          <w:highlight w:val="none"/>
          <w:u w:val="single"/>
        </w:rPr>
        <w:t>满足前附表要求</w:t>
      </w:r>
      <w:r>
        <w:rPr>
          <w:rFonts w:hint="eastAsia" w:ascii="Times New Roman" w:hAnsi="Times New Roman" w:eastAsia="黑体" w:cs="Times New Roman"/>
          <w:szCs w:val="21"/>
          <w:highlight w:val="none"/>
        </w:rPr>
        <w:t>__。</w:t>
      </w:r>
    </w:p>
    <w:p>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3、</w:t>
      </w:r>
      <w:r>
        <w:rPr>
          <w:rFonts w:ascii="Times New Roman" w:hAnsi="Times New Roman" w:eastAsia="黑体" w:cs="Times New Roman"/>
          <w:szCs w:val="21"/>
          <w:highlight w:val="none"/>
        </w:rPr>
        <w:t>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textAlignment w:val="bottom"/>
        <w:rPr>
          <w:rFonts w:hint="eastAsia" w:ascii="Times New Roman" w:hAnsi="Times New Roman" w:eastAsia="黑体" w:cs="Times New Roman"/>
          <w:szCs w:val="21"/>
          <w:highlight w:val="none"/>
        </w:rPr>
      </w:pPr>
      <w:r>
        <w:rPr>
          <w:rFonts w:hint="eastAsia" w:ascii="Times New Roman" w:hAnsi="Times New Roman" w:eastAsia="黑体" w:cs="Times New Roman"/>
          <w:szCs w:val="21"/>
          <w:highlight w:val="none"/>
          <w:lang w:val="en-US" w:eastAsia="zh-CN"/>
        </w:rPr>
        <w:t>4、</w:t>
      </w:r>
      <w:r>
        <w:rPr>
          <w:rFonts w:hint="eastAsia" w:ascii="Times New Roman" w:hAnsi="Times New Roman" w:eastAsia="黑体" w:cs="Times New Roman"/>
          <w:szCs w:val="21"/>
          <w:highlight w:val="none"/>
        </w:rPr>
        <w:t>业绩证明材料须提供：合同协议书，否则</w:t>
      </w:r>
      <w:r>
        <w:rPr>
          <w:rFonts w:hint="eastAsia" w:ascii="Times New Roman" w:hAnsi="Times New Roman" w:eastAsia="黑体" w:cs="Times New Roman"/>
          <w:szCs w:val="21"/>
          <w:highlight w:val="none"/>
          <w:lang w:eastAsia="zh-CN"/>
        </w:rPr>
        <w:t>评审小组</w:t>
      </w:r>
      <w:r>
        <w:rPr>
          <w:rFonts w:hint="eastAsia" w:ascii="Times New Roman" w:hAnsi="Times New Roman" w:eastAsia="黑体" w:cs="Times New Roman"/>
          <w:szCs w:val="21"/>
          <w:highlight w:val="none"/>
        </w:rPr>
        <w:t>不予认可。 业绩金额以合同为准，业绩时间以合同签订相关文件标注的时间为准。所提供的业绩证明材料中如不能明确反映出采购文件所要求的内容的，应另附加盖业主方公章的证明材料予以明确说明，否则</w:t>
      </w:r>
      <w:r>
        <w:rPr>
          <w:rFonts w:hint="eastAsia" w:ascii="Times New Roman" w:hAnsi="Times New Roman" w:eastAsia="黑体" w:cs="Times New Roman"/>
          <w:szCs w:val="21"/>
          <w:highlight w:val="none"/>
          <w:lang w:eastAsia="zh-CN"/>
        </w:rPr>
        <w:t>评审小组</w:t>
      </w:r>
      <w:r>
        <w:rPr>
          <w:rFonts w:hint="eastAsia" w:ascii="Times New Roman" w:hAnsi="Times New Roman" w:eastAsia="黑体" w:cs="Times New Roman"/>
          <w:szCs w:val="21"/>
          <w:highlight w:val="none"/>
        </w:rPr>
        <w:t>不予认可。</w:t>
      </w:r>
    </w:p>
    <w:p>
      <w:pPr>
        <w:pStyle w:val="7"/>
        <w:rPr>
          <w:rFonts w:hint="eastAsia" w:eastAsia="黑体"/>
          <w:highlight w:val="none"/>
          <w:lang w:val="en-US" w:eastAsia="zh-CN"/>
        </w:rPr>
      </w:pPr>
    </w:p>
    <w:p>
      <w:pPr>
        <w:pStyle w:val="7"/>
        <w:rPr>
          <w:rFonts w:ascii="Times New Roman" w:hAnsi="Times New Roman"/>
          <w:highlight w:val="none"/>
        </w:rPr>
      </w:pPr>
    </w:p>
    <w:p>
      <w:pPr>
        <w:topLinePunct/>
        <w:spacing w:line="340" w:lineRule="atLeast"/>
        <w:jc w:val="center"/>
        <w:rPr>
          <w:rFonts w:ascii="Times New Roman" w:hAnsi="Times New Roman" w:eastAsia="黑体" w:cs="Times New Roman"/>
          <w:sz w:val="24"/>
          <w:highlight w:val="none"/>
        </w:rPr>
      </w:pPr>
      <w:r>
        <w:rPr>
          <w:rFonts w:ascii="Times New Roman" w:hAnsi="Times New Roman" w:eastAsia="黑体" w:cs="Times New Roman"/>
          <w:sz w:val="28"/>
          <w:szCs w:val="28"/>
          <w:highlight w:val="none"/>
        </w:rPr>
        <w:br w:type="page"/>
      </w:r>
    </w:p>
    <w:p>
      <w:pPr>
        <w:tabs>
          <w:tab w:val="left" w:pos="3060"/>
        </w:tabs>
        <w:topLinePunct/>
        <w:spacing w:line="440" w:lineRule="exact"/>
        <w:jc w:val="center"/>
        <w:outlineLvl w:val="1"/>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六</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lang w:val="en-US" w:eastAsia="zh-CN"/>
        </w:rPr>
        <w:t>信誉情况</w:t>
      </w:r>
      <w:bookmarkEnd w:id="147"/>
      <w:bookmarkEnd w:id="148"/>
      <w:bookmarkEnd w:id="149"/>
      <w:bookmarkEnd w:id="150"/>
    </w:p>
    <w:p>
      <w:pPr>
        <w:topLinePunct/>
        <w:spacing w:line="440" w:lineRule="exact"/>
        <w:rPr>
          <w:rFonts w:hint="default" w:ascii="Times New Roman" w:hAnsi="Times New Roman" w:cs="Times New Roman"/>
          <w:bCs/>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lang w:eastAsia="zh-CN"/>
              </w:rPr>
              <w:t>供应商</w:t>
            </w:r>
            <w:r>
              <w:rPr>
                <w:rFonts w:hint="default" w:ascii="Times New Roman" w:hAnsi="Times New Roman" w:cs="Times New Roman"/>
                <w:bCs/>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center"/>
          </w:tcPr>
          <w:p>
            <w:pPr>
              <w:topLinePunct/>
              <w:spacing w:line="440" w:lineRule="exact"/>
              <w:jc w:val="center"/>
              <w:rPr>
                <w:rFonts w:hint="eastAsia" w:ascii="Times New Roman" w:hAnsi="Times New Roman" w:eastAsia="黑体" w:cs="Times New Roman"/>
                <w:bCs/>
                <w:szCs w:val="21"/>
                <w:highlight w:val="none"/>
                <w:lang w:eastAsia="zh-CN"/>
              </w:rPr>
            </w:pPr>
            <w:r>
              <w:rPr>
                <w:rFonts w:hint="eastAsia" w:cs="Times New Roman"/>
                <w:bCs/>
                <w:szCs w:val="21"/>
                <w:highlight w:val="none"/>
                <w:lang w:eastAsia="zh-CN"/>
              </w:rPr>
              <w:t>（</w:t>
            </w:r>
            <w:r>
              <w:rPr>
                <w:rFonts w:hint="eastAsia" w:cs="Times New Roman"/>
                <w:bCs/>
                <w:szCs w:val="21"/>
                <w:highlight w:val="none"/>
                <w:lang w:val="en-US" w:eastAsia="zh-CN"/>
              </w:rPr>
              <w:t>是/否</w:t>
            </w:r>
            <w:r>
              <w:rPr>
                <w:rFonts w:hint="eastAsia" w:cs="Times New Roman"/>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center"/>
          </w:tcPr>
          <w:p>
            <w:pPr>
              <w:topLinePunct/>
              <w:spacing w:line="440" w:lineRule="exact"/>
              <w:jc w:val="center"/>
              <w:rPr>
                <w:rFonts w:hint="default" w:ascii="Times New Roman" w:hAnsi="Times New Roman" w:cs="Times New Roman"/>
                <w:bCs/>
                <w:szCs w:val="21"/>
                <w:highlight w:val="none"/>
              </w:rPr>
            </w:pPr>
            <w:r>
              <w:rPr>
                <w:rFonts w:hint="eastAsia" w:cs="Times New Roman"/>
                <w:bCs/>
                <w:szCs w:val="21"/>
                <w:highlight w:val="none"/>
                <w:lang w:eastAsia="zh-CN"/>
              </w:rPr>
              <w:t>（</w:t>
            </w:r>
            <w:r>
              <w:rPr>
                <w:rFonts w:hint="eastAsia" w:cs="Times New Roman"/>
                <w:bCs/>
                <w:szCs w:val="21"/>
                <w:highlight w:val="none"/>
                <w:lang w:val="en-US" w:eastAsia="zh-CN"/>
              </w:rPr>
              <w:t>是/否</w:t>
            </w:r>
            <w:r>
              <w:rPr>
                <w:rFonts w:hint="eastAsia" w:cs="Times New Roman"/>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center"/>
          </w:tcPr>
          <w:p>
            <w:pPr>
              <w:topLinePunct/>
              <w:spacing w:line="440" w:lineRule="exact"/>
              <w:jc w:val="center"/>
              <w:rPr>
                <w:rFonts w:hint="default" w:ascii="Times New Roman" w:hAnsi="Times New Roman" w:cs="Times New Roman"/>
                <w:bCs/>
                <w:szCs w:val="21"/>
                <w:highlight w:val="none"/>
              </w:rPr>
            </w:pPr>
            <w:r>
              <w:rPr>
                <w:rFonts w:hint="eastAsia" w:cs="Times New Roman"/>
                <w:bCs/>
                <w:szCs w:val="21"/>
                <w:highlight w:val="none"/>
                <w:lang w:eastAsia="zh-CN"/>
              </w:rPr>
              <w:t>（</w:t>
            </w:r>
            <w:r>
              <w:rPr>
                <w:rFonts w:hint="eastAsia" w:cs="Times New Roman"/>
                <w:bCs/>
                <w:szCs w:val="21"/>
                <w:highlight w:val="none"/>
                <w:lang w:val="en-US" w:eastAsia="zh-CN"/>
              </w:rPr>
              <w:t>是/否</w:t>
            </w:r>
            <w:r>
              <w:rPr>
                <w:rFonts w:hint="eastAsia" w:cs="Times New Roman"/>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center"/>
          </w:tcPr>
          <w:p>
            <w:pPr>
              <w:topLinePunct/>
              <w:spacing w:line="440" w:lineRule="exact"/>
              <w:jc w:val="center"/>
              <w:rPr>
                <w:rFonts w:hint="default" w:ascii="Times New Roman" w:hAnsi="Times New Roman" w:cs="Times New Roman"/>
                <w:bCs/>
                <w:szCs w:val="21"/>
                <w:highlight w:val="none"/>
              </w:rPr>
            </w:pPr>
            <w:r>
              <w:rPr>
                <w:rFonts w:hint="eastAsia" w:cs="Times New Roman"/>
                <w:bCs/>
                <w:szCs w:val="21"/>
                <w:highlight w:val="none"/>
                <w:lang w:eastAsia="zh-CN"/>
              </w:rPr>
              <w:t>（</w:t>
            </w:r>
            <w:r>
              <w:rPr>
                <w:rFonts w:hint="eastAsia" w:cs="Times New Roman"/>
                <w:bCs/>
                <w:szCs w:val="21"/>
                <w:highlight w:val="none"/>
                <w:lang w:val="en-US" w:eastAsia="zh-CN"/>
              </w:rPr>
              <w:t>是/否</w:t>
            </w:r>
            <w:r>
              <w:rPr>
                <w:rFonts w:hint="eastAsia" w:cs="Times New Roman"/>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szCs w:val="21"/>
                <w:highlight w:val="none"/>
              </w:rPr>
            </w:pPr>
            <w:r>
              <w:rPr>
                <w:rFonts w:hint="default" w:ascii="Times New Roman" w:hAnsi="Times New Roman" w:cs="Times New Roman"/>
                <w:color w:val="auto"/>
                <w:sz w:val="24"/>
                <w:szCs w:val="28"/>
                <w:highlight w:val="none"/>
                <w:u w:val="none"/>
                <w:lang w:val="en-US" w:eastAsia="zh-CN"/>
              </w:rPr>
              <w:t>是否在近三年内（自响应文件递交截止之日向前追溯3年）供应商或其法定代表人、拟委任的项目经理（如有）有行贿犯罪行为</w:t>
            </w:r>
          </w:p>
        </w:tc>
        <w:tc>
          <w:tcPr>
            <w:tcW w:w="4445" w:type="dxa"/>
            <w:noWrap w:val="0"/>
            <w:vAlign w:val="center"/>
          </w:tcPr>
          <w:p>
            <w:pPr>
              <w:topLinePunct/>
              <w:spacing w:line="440" w:lineRule="exact"/>
              <w:jc w:val="center"/>
              <w:rPr>
                <w:rFonts w:hint="default" w:ascii="Times New Roman" w:hAnsi="Times New Roman" w:cs="Times New Roman"/>
                <w:bCs/>
                <w:szCs w:val="21"/>
                <w:highlight w:val="none"/>
              </w:rPr>
            </w:pPr>
            <w:r>
              <w:rPr>
                <w:rFonts w:hint="eastAsia" w:cs="Times New Roman"/>
                <w:bCs/>
                <w:szCs w:val="21"/>
                <w:highlight w:val="none"/>
                <w:lang w:eastAsia="zh-CN"/>
              </w:rPr>
              <w:t>（</w:t>
            </w:r>
            <w:r>
              <w:rPr>
                <w:rFonts w:hint="eastAsia" w:cs="Times New Roman"/>
                <w:bCs/>
                <w:szCs w:val="21"/>
                <w:highlight w:val="none"/>
                <w:lang w:val="en-US" w:eastAsia="zh-CN"/>
              </w:rPr>
              <w:t>是/否</w:t>
            </w:r>
            <w:r>
              <w:rPr>
                <w:rFonts w:hint="eastAsia" w:cs="Times New Roman"/>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default"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szCs w:val="21"/>
                <w:highlight w:val="none"/>
              </w:rPr>
            </w:pPr>
          </w:p>
        </w:tc>
      </w:tr>
    </w:tbl>
    <w:p>
      <w:pPr>
        <w:spacing w:line="440" w:lineRule="exact"/>
        <w:jc w:val="left"/>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注：本表</w:t>
      </w:r>
      <w:r>
        <w:rPr>
          <w:rFonts w:hint="eastAsia" w:ascii="Times New Roman" w:hAnsi="Times New Roman" w:cs="Times New Roman"/>
          <w:sz w:val="24"/>
          <w:highlight w:val="none"/>
          <w:lang w:val="en-US" w:eastAsia="zh-CN"/>
        </w:rPr>
        <w:t>无</w:t>
      </w:r>
      <w:r>
        <w:rPr>
          <w:rFonts w:hint="default" w:ascii="Times New Roman" w:hAnsi="Times New Roman" w:cs="Times New Roman"/>
          <w:sz w:val="24"/>
          <w:highlight w:val="none"/>
          <w:lang w:val="en-US" w:eastAsia="zh-CN"/>
        </w:rPr>
        <w:t>需附证明材料</w:t>
      </w:r>
      <w:r>
        <w:rPr>
          <w:rFonts w:hint="eastAsia" w:ascii="Times New Roman" w:hAnsi="Times New Roman" w:cs="Times New Roman"/>
          <w:sz w:val="24"/>
          <w:highlight w:val="none"/>
          <w:lang w:val="en-US" w:eastAsia="zh-CN"/>
        </w:rPr>
        <w:t>，供应商应如实填写情况说明，如无以上内容，可在情况说明处填写无即可，如有弄虚作假行为，采购人保留对供应商依法依规处理的权利</w:t>
      </w:r>
      <w:r>
        <w:rPr>
          <w:rFonts w:hint="default" w:ascii="Times New Roman" w:hAnsi="Times New Roman" w:cs="Times New Roman"/>
          <w:sz w:val="24"/>
          <w:highlight w:val="none"/>
          <w:lang w:val="en-US" w:eastAsia="zh-CN"/>
        </w:rPr>
        <w:t>。</w:t>
      </w:r>
    </w:p>
    <w:p>
      <w:pPr>
        <w:pStyle w:val="7"/>
        <w:jc w:val="right"/>
        <w:rPr>
          <w:rFonts w:hint="default" w:ascii="Times New Roman" w:hAnsi="Times New Roman" w:cs="Times New Roman"/>
          <w:sz w:val="24"/>
          <w:highlight w:val="none"/>
          <w:lang w:val="en-US" w:eastAsia="zh-CN"/>
        </w:rPr>
      </w:pPr>
    </w:p>
    <w:p>
      <w:pPr>
        <w:spacing w:line="440" w:lineRule="exact"/>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eastAsia="zh-CN"/>
        </w:rPr>
        <w:t>供应商</w:t>
      </w:r>
      <w:r>
        <w:rPr>
          <w:rFonts w:hint="default"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(盖单位章)</w:t>
      </w:r>
    </w:p>
    <w:p>
      <w:pPr>
        <w:pStyle w:val="19"/>
        <w:tabs>
          <w:tab w:val="left" w:pos="1078"/>
          <w:tab w:val="left" w:pos="1176"/>
          <w:tab w:val="left" w:pos="1638"/>
          <w:tab w:val="left" w:pos="3920"/>
          <w:tab w:val="left" w:pos="5670"/>
        </w:tabs>
        <w:ind w:left="0" w:leftChars="0" w:firstLine="4320" w:firstLineChars="1800"/>
        <w:rPr>
          <w:rFonts w:hint="default" w:ascii="Times New Roman" w:hAnsi="Times New Roman" w:cs="Times New Roman"/>
          <w:sz w:val="24"/>
          <w:highlight w:val="none"/>
          <w:u w:val="single"/>
          <w:lang w:val="en-US" w:eastAsia="zh-CN"/>
        </w:rPr>
      </w:pPr>
    </w:p>
    <w:p>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highlight w:val="none"/>
        </w:rPr>
      </w:pPr>
      <w:r>
        <w:rPr>
          <w:rFonts w:hint="eastAsia" w:ascii="Times New Roman" w:hAnsi="Times New Roman" w:cs="Times New Roman"/>
          <w:sz w:val="24"/>
          <w:highlight w:val="none"/>
          <w:u w:val="single"/>
          <w:lang w:val="en-US" w:eastAsia="zh-CN"/>
        </w:rPr>
        <w:t>2024</w:t>
      </w:r>
      <w:r>
        <w:rPr>
          <w:rFonts w:hint="default" w:ascii="Times New Roman" w:hAnsi="Times New Roman" w:cs="Times New Roman"/>
          <w:sz w:val="24"/>
          <w:highlight w:val="none"/>
          <w:u w:val="none"/>
          <w:lang w:val="en-US" w:eastAsia="zh-CN"/>
        </w:rPr>
        <w:t xml:space="preserve">年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none"/>
          <w:lang w:val="en-US" w:eastAsia="zh-CN"/>
        </w:rPr>
        <w:t>月</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none"/>
          <w:lang w:val="en-US" w:eastAsia="zh-CN"/>
        </w:rPr>
        <w:t>日</w:t>
      </w:r>
    </w:p>
    <w:p>
      <w:pPr>
        <w:pStyle w:val="19"/>
        <w:tabs>
          <w:tab w:val="left" w:pos="1078"/>
          <w:tab w:val="left" w:pos="1176"/>
          <w:tab w:val="left" w:pos="1638"/>
          <w:tab w:val="left" w:pos="3920"/>
          <w:tab w:val="left" w:pos="5670"/>
        </w:tabs>
        <w:rPr>
          <w:rFonts w:ascii="Times New Roman" w:hAnsi="Times New Roman" w:eastAsia="黑体" w:cs="Times New Roman"/>
          <w:color w:val="auto"/>
          <w:sz w:val="28"/>
          <w:szCs w:val="28"/>
          <w:highlight w:val="none"/>
        </w:rPr>
      </w:pPr>
    </w:p>
    <w:p>
      <w:pPr>
        <w:widowControl/>
        <w:autoSpaceDE/>
        <w:autoSpaceDN/>
        <w:spacing w:line="440" w:lineRule="exact"/>
        <w:ind w:left="0"/>
        <w:jc w:val="center"/>
        <w:textAlignment w:val="auto"/>
        <w:outlineLvl w:val="9"/>
        <w:rPr>
          <w:color w:val="auto"/>
          <w:highlight w:val="none"/>
        </w:rPr>
      </w:pPr>
    </w:p>
    <w:p>
      <w:pPr>
        <w:widowControl/>
        <w:autoSpaceDE/>
        <w:autoSpaceDN/>
        <w:spacing w:line="440" w:lineRule="exact"/>
        <w:ind w:left="0"/>
        <w:jc w:val="center"/>
        <w:textAlignment w:val="auto"/>
        <w:outlineLvl w:val="9"/>
        <w:rPr>
          <w:color w:val="auto"/>
          <w:highlight w:val="none"/>
        </w:rPr>
      </w:pPr>
    </w:p>
    <w:p>
      <w:pPr>
        <w:spacing w:line="440" w:lineRule="exact"/>
        <w:jc w:val="center"/>
        <w:outlineLvl w:val="9"/>
        <w:rPr>
          <w:rFonts w:hint="eastAsia" w:ascii="Times New Roman" w:hAnsi="Times New Roman" w:eastAsia="黑体" w:cs="Times New Roman"/>
          <w:color w:val="auto"/>
          <w:sz w:val="28"/>
          <w:szCs w:val="28"/>
          <w:highlight w:val="none"/>
          <w:lang w:val="en-US" w:eastAsia="zh-CN"/>
        </w:rPr>
      </w:pPr>
      <w:bookmarkStart w:id="151" w:name="_Toc4822_WPSOffice_Level1"/>
      <w:bookmarkStart w:id="152" w:name="_Toc22014_WPSOffice_Level1"/>
    </w:p>
    <w:p>
      <w:pPr>
        <w:spacing w:line="440" w:lineRule="exact"/>
        <w:jc w:val="center"/>
        <w:outlineLvl w:val="1"/>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七</w:t>
      </w:r>
      <w:r>
        <w:rPr>
          <w:rFonts w:ascii="Times New Roman" w:hAnsi="Times New Roman" w:eastAsia="黑体" w:cs="Times New Roman"/>
          <w:color w:val="auto"/>
          <w:sz w:val="28"/>
          <w:szCs w:val="28"/>
          <w:highlight w:val="none"/>
        </w:rPr>
        <w:t>、其它材料</w:t>
      </w:r>
      <w:bookmarkEnd w:id="151"/>
      <w:bookmarkEnd w:id="152"/>
    </w:p>
    <w:p>
      <w:pPr>
        <w:pStyle w:val="7"/>
        <w:spacing w:line="360" w:lineRule="auto"/>
        <w:jc w:val="both"/>
        <w:outlineLvl w:val="0"/>
        <w:rPr>
          <w:rFonts w:hint="default" w:ascii="Times New Roman" w:hAnsi="Times New Roman" w:eastAsiaTheme="minorEastAsia"/>
          <w:color w:val="auto"/>
          <w:szCs w:val="28"/>
          <w:highlight w:val="none"/>
          <w:lang w:val="en-US" w:eastAsia="zh-CN"/>
        </w:rPr>
      </w:pPr>
      <w:bookmarkStart w:id="153" w:name="_Toc32376"/>
      <w:bookmarkStart w:id="154" w:name="_Toc12549"/>
      <w:r>
        <w:rPr>
          <w:rFonts w:hint="eastAsia" w:ascii="Times New Roman" w:hAnsi="Times New Roman"/>
          <w:color w:val="auto"/>
          <w:szCs w:val="28"/>
          <w:highlight w:val="none"/>
          <w:lang w:val="en-US" w:eastAsia="zh-CN"/>
        </w:rPr>
        <w:t>供应商认为需要递交的其它材料。</w:t>
      </w:r>
      <w:bookmarkEnd w:id="153"/>
      <w:bookmarkEnd w:id="154"/>
    </w:p>
    <w:p>
      <w:pPr>
        <w:rPr>
          <w:rFonts w:hint="default" w:ascii="Times New Roman" w:hAnsi="Times New Roman"/>
          <w:color w:val="auto"/>
          <w:szCs w:val="28"/>
          <w:highlight w:val="none"/>
        </w:rPr>
      </w:pPr>
    </w:p>
    <w:p>
      <w:pPr>
        <w:pStyle w:val="19"/>
        <w:tabs>
          <w:tab w:val="left" w:pos="1078"/>
          <w:tab w:val="left" w:pos="1176"/>
          <w:tab w:val="left" w:pos="1638"/>
          <w:tab w:val="left" w:pos="3920"/>
          <w:tab w:val="left" w:pos="5670"/>
        </w:tabs>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8"/>
        <w:rPr>
          <w:rFonts w:hint="default" w:ascii="Times New Roman" w:hAnsi="Times New Roman"/>
          <w:color w:val="auto"/>
          <w:szCs w:val="28"/>
          <w:highlight w:val="none"/>
        </w:rPr>
      </w:pPr>
    </w:p>
    <w:p>
      <w:pPr>
        <w:pStyle w:val="19"/>
        <w:tabs>
          <w:tab w:val="left" w:pos="1078"/>
          <w:tab w:val="left" w:pos="1176"/>
          <w:tab w:val="left" w:pos="1638"/>
          <w:tab w:val="left" w:pos="3920"/>
          <w:tab w:val="left" w:pos="5670"/>
        </w:tabs>
        <w:ind w:left="0" w:leftChars="0" w:firstLine="0" w:firstLineChars="0"/>
        <w:rPr>
          <w:rFonts w:hint="eastAsia" w:eastAsia="宋体"/>
          <w:color w:val="auto"/>
          <w:highlight w:val="none"/>
          <w:lang w:eastAsia="zh-CN"/>
        </w:rPr>
      </w:pPr>
    </w:p>
    <w:bookmarkEnd w:id="65"/>
    <w:bookmarkEnd w:id="66"/>
    <w:bookmarkEnd w:id="67"/>
    <w:bookmarkEnd w:id="68"/>
    <w:bookmarkEnd w:id="69"/>
    <w:bookmarkEnd w:id="70"/>
    <w:bookmarkEnd w:id="71"/>
    <w:bookmarkEnd w:id="72"/>
    <w:bookmarkEnd w:id="73"/>
    <w:bookmarkEnd w:id="74"/>
    <w:p>
      <w:pPr>
        <w:pStyle w:val="32"/>
        <w:rPr>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pStyle w:val="19"/>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19"/>
        <w:rPr>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rPr>
          <w:highlight w:val="none"/>
        </w:rPr>
      </w:pP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E07476-8279-48C2-B50E-BDF5E2ACE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2F2615-D36B-41DF-B373-D8E6CEDB3EF0}"/>
  </w:font>
  <w:font w:name="微软雅黑">
    <w:panose1 w:val="020B0503020204020204"/>
    <w:charset w:val="86"/>
    <w:family w:val="swiss"/>
    <w:pitch w:val="default"/>
    <w:sig w:usb0="80000287" w:usb1="2ACF3C50" w:usb2="00000016" w:usb3="00000000" w:csb0="0004001F" w:csb1="00000000"/>
    <w:embedRegular r:id="rId3" w:fontKey="{C3248B02-AF27-417E-9523-ECE452D63611}"/>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4" w:fontKey="{7C75E7FC-286E-4964-A329-2243994446EC}"/>
  </w:font>
  <w:font w:name="华文楷体">
    <w:panose1 w:val="02010600040101010101"/>
    <w:charset w:val="86"/>
    <w:family w:val="auto"/>
    <w:pitch w:val="default"/>
    <w:sig w:usb0="00000287" w:usb1="080F0000" w:usb2="00000000" w:usb3="00000000" w:csb0="0004009F" w:csb1="DFD70000"/>
    <w:embedRegular r:id="rId5" w:fontKey="{040CE6A2-C61C-4089-83F3-F42498D6191B}"/>
  </w:font>
  <w:font w:name="仿宋_GB2312">
    <w:panose1 w:val="02010609030101010101"/>
    <w:charset w:val="86"/>
    <w:family w:val="modern"/>
    <w:pitch w:val="default"/>
    <w:sig w:usb0="00000001" w:usb1="080E0000" w:usb2="00000000" w:usb3="00000000" w:csb0="00040000" w:csb1="00000000"/>
    <w:embedRegular r:id="rId6" w:fontKey="{8C551780-F9F9-452D-850B-7B579937F3D2}"/>
  </w:font>
  <w:font w:name="楷体">
    <w:panose1 w:val="02010609060101010101"/>
    <w:charset w:val="86"/>
    <w:family w:val="auto"/>
    <w:pitch w:val="default"/>
    <w:sig w:usb0="800002BF" w:usb1="38CF7CFA" w:usb2="00000016" w:usb3="00000000" w:csb0="00040001" w:csb1="00000000"/>
    <w:embedRegular r:id="rId7" w:fontKey="{35CF2696-7C65-4470-A3FC-99A8BEA7E7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9" o:spt="136" type="#_x0000_t136" style="position:absolute;left:0pt;height:62.3pt;width:524.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3603CF9A"/>
    <w:multiLevelType w:val="singleLevel"/>
    <w:tmpl w:val="3603CF9A"/>
    <w:lvl w:ilvl="0" w:tentative="0">
      <w:start w:val="13"/>
      <w:numFmt w:val="chineseCounting"/>
      <w:suff w:val="nothing"/>
      <w:lvlText w:val="%1、"/>
      <w:lvlJc w:val="left"/>
      <w:rPr>
        <w:rFonts w:hint="eastAsia"/>
      </w:rPr>
    </w:lvl>
  </w:abstractNum>
  <w:abstractNum w:abstractNumId="4">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DU2M2U2NTU0ODMxNDc0YmM5MTIwOGVmZmY2MmQifQ=="/>
  </w:docVars>
  <w:rsids>
    <w:rsidRoot w:val="6F4D02A4"/>
    <w:rsid w:val="0022317B"/>
    <w:rsid w:val="00302DB5"/>
    <w:rsid w:val="00302F3A"/>
    <w:rsid w:val="005607D6"/>
    <w:rsid w:val="00653222"/>
    <w:rsid w:val="00691F7C"/>
    <w:rsid w:val="00724BD4"/>
    <w:rsid w:val="007C6E94"/>
    <w:rsid w:val="00E8570D"/>
    <w:rsid w:val="017B2147"/>
    <w:rsid w:val="021138F7"/>
    <w:rsid w:val="023E3C6A"/>
    <w:rsid w:val="0278442B"/>
    <w:rsid w:val="028D5673"/>
    <w:rsid w:val="02D346A3"/>
    <w:rsid w:val="038863C7"/>
    <w:rsid w:val="03A9557F"/>
    <w:rsid w:val="043E163C"/>
    <w:rsid w:val="04701D1E"/>
    <w:rsid w:val="04E034BC"/>
    <w:rsid w:val="059507D8"/>
    <w:rsid w:val="05F94BA8"/>
    <w:rsid w:val="06341F34"/>
    <w:rsid w:val="06670E60"/>
    <w:rsid w:val="068727A0"/>
    <w:rsid w:val="07063EDC"/>
    <w:rsid w:val="073835B2"/>
    <w:rsid w:val="076958CF"/>
    <w:rsid w:val="09210464"/>
    <w:rsid w:val="0A1B1122"/>
    <w:rsid w:val="0A2E7496"/>
    <w:rsid w:val="0A466107"/>
    <w:rsid w:val="0A941F2B"/>
    <w:rsid w:val="0AAD73BC"/>
    <w:rsid w:val="0BA10DDD"/>
    <w:rsid w:val="0BDA1536"/>
    <w:rsid w:val="0BDD422F"/>
    <w:rsid w:val="0C425774"/>
    <w:rsid w:val="0DBD0BDC"/>
    <w:rsid w:val="0DE02F17"/>
    <w:rsid w:val="0EBA46A3"/>
    <w:rsid w:val="0EBB2DAD"/>
    <w:rsid w:val="0F531ACB"/>
    <w:rsid w:val="0F6F4854"/>
    <w:rsid w:val="0F9F0794"/>
    <w:rsid w:val="0FBE1FCA"/>
    <w:rsid w:val="103E486A"/>
    <w:rsid w:val="106D5B52"/>
    <w:rsid w:val="1090350E"/>
    <w:rsid w:val="10944070"/>
    <w:rsid w:val="10A6372F"/>
    <w:rsid w:val="10DA535D"/>
    <w:rsid w:val="110D2AFF"/>
    <w:rsid w:val="11DF30C9"/>
    <w:rsid w:val="11F117DD"/>
    <w:rsid w:val="129325F3"/>
    <w:rsid w:val="12FA3B2F"/>
    <w:rsid w:val="132C74B1"/>
    <w:rsid w:val="13431F92"/>
    <w:rsid w:val="136E2BA5"/>
    <w:rsid w:val="13E11194"/>
    <w:rsid w:val="144A391D"/>
    <w:rsid w:val="149434CF"/>
    <w:rsid w:val="150E5893"/>
    <w:rsid w:val="15133F2C"/>
    <w:rsid w:val="15C3657D"/>
    <w:rsid w:val="162A6AFC"/>
    <w:rsid w:val="163D1F3A"/>
    <w:rsid w:val="16414AC9"/>
    <w:rsid w:val="188C4113"/>
    <w:rsid w:val="191A46EE"/>
    <w:rsid w:val="19647370"/>
    <w:rsid w:val="19DE1C05"/>
    <w:rsid w:val="1A185E2C"/>
    <w:rsid w:val="1A3C6E09"/>
    <w:rsid w:val="1A657CD8"/>
    <w:rsid w:val="1AA97D25"/>
    <w:rsid w:val="1AB80106"/>
    <w:rsid w:val="1B87260E"/>
    <w:rsid w:val="1C0C5403"/>
    <w:rsid w:val="1C511068"/>
    <w:rsid w:val="1CB03FE0"/>
    <w:rsid w:val="1CD07137"/>
    <w:rsid w:val="1CF12CD2"/>
    <w:rsid w:val="1D3772E3"/>
    <w:rsid w:val="1D3F5364"/>
    <w:rsid w:val="1D9C6C71"/>
    <w:rsid w:val="1DD02C25"/>
    <w:rsid w:val="1E7E7378"/>
    <w:rsid w:val="1E8A45FA"/>
    <w:rsid w:val="1F1E0D0C"/>
    <w:rsid w:val="1F8615BF"/>
    <w:rsid w:val="1F93095F"/>
    <w:rsid w:val="1FB449F5"/>
    <w:rsid w:val="1FC01B05"/>
    <w:rsid w:val="1FF20E13"/>
    <w:rsid w:val="20220D88"/>
    <w:rsid w:val="202D724A"/>
    <w:rsid w:val="20432E03"/>
    <w:rsid w:val="20CE712B"/>
    <w:rsid w:val="20E701EC"/>
    <w:rsid w:val="2211172D"/>
    <w:rsid w:val="22456F98"/>
    <w:rsid w:val="22A243CB"/>
    <w:rsid w:val="23610B8C"/>
    <w:rsid w:val="241D716E"/>
    <w:rsid w:val="25262F8B"/>
    <w:rsid w:val="25CC7C14"/>
    <w:rsid w:val="2613091A"/>
    <w:rsid w:val="265909F3"/>
    <w:rsid w:val="26E81DCB"/>
    <w:rsid w:val="27621A0B"/>
    <w:rsid w:val="279E7B84"/>
    <w:rsid w:val="27B103DE"/>
    <w:rsid w:val="285445B2"/>
    <w:rsid w:val="28D24D9C"/>
    <w:rsid w:val="28FE7045"/>
    <w:rsid w:val="2941798C"/>
    <w:rsid w:val="294C5129"/>
    <w:rsid w:val="295C70D0"/>
    <w:rsid w:val="2A7F386F"/>
    <w:rsid w:val="2A873D2B"/>
    <w:rsid w:val="2A8F70B0"/>
    <w:rsid w:val="2AE43776"/>
    <w:rsid w:val="2B1D5459"/>
    <w:rsid w:val="2C895C20"/>
    <w:rsid w:val="2D141CF6"/>
    <w:rsid w:val="2D984126"/>
    <w:rsid w:val="2E0A4375"/>
    <w:rsid w:val="2E6740D2"/>
    <w:rsid w:val="2ED8288A"/>
    <w:rsid w:val="300246FB"/>
    <w:rsid w:val="304C62DA"/>
    <w:rsid w:val="30793AE8"/>
    <w:rsid w:val="30C628C5"/>
    <w:rsid w:val="319B3695"/>
    <w:rsid w:val="32332253"/>
    <w:rsid w:val="324271A8"/>
    <w:rsid w:val="32AE1EC5"/>
    <w:rsid w:val="32B15339"/>
    <w:rsid w:val="333F226C"/>
    <w:rsid w:val="33B853F8"/>
    <w:rsid w:val="33C26030"/>
    <w:rsid w:val="35201A23"/>
    <w:rsid w:val="35843E04"/>
    <w:rsid w:val="35B540D6"/>
    <w:rsid w:val="35EF65E1"/>
    <w:rsid w:val="361938E0"/>
    <w:rsid w:val="36903EA0"/>
    <w:rsid w:val="36C144C3"/>
    <w:rsid w:val="388C7CC2"/>
    <w:rsid w:val="38B92676"/>
    <w:rsid w:val="38E1635E"/>
    <w:rsid w:val="39B20761"/>
    <w:rsid w:val="39C062A2"/>
    <w:rsid w:val="39F257E0"/>
    <w:rsid w:val="3A1F1997"/>
    <w:rsid w:val="3A6955BC"/>
    <w:rsid w:val="3B096510"/>
    <w:rsid w:val="3B414529"/>
    <w:rsid w:val="3B47240E"/>
    <w:rsid w:val="3B7C2F21"/>
    <w:rsid w:val="3B8A41D3"/>
    <w:rsid w:val="3BC00DC4"/>
    <w:rsid w:val="3C651D50"/>
    <w:rsid w:val="3CE6781C"/>
    <w:rsid w:val="3CF7310E"/>
    <w:rsid w:val="3E103B9E"/>
    <w:rsid w:val="3E2829E9"/>
    <w:rsid w:val="3E5113D8"/>
    <w:rsid w:val="3FB452E6"/>
    <w:rsid w:val="3FF744E4"/>
    <w:rsid w:val="40182D6D"/>
    <w:rsid w:val="403D54CD"/>
    <w:rsid w:val="408028ED"/>
    <w:rsid w:val="41212AAF"/>
    <w:rsid w:val="4178455B"/>
    <w:rsid w:val="419F354F"/>
    <w:rsid w:val="41B873F1"/>
    <w:rsid w:val="41BB6E00"/>
    <w:rsid w:val="41CF3C5E"/>
    <w:rsid w:val="41FB71FC"/>
    <w:rsid w:val="426A68F1"/>
    <w:rsid w:val="426B29F2"/>
    <w:rsid w:val="42754E3B"/>
    <w:rsid w:val="42ED38B0"/>
    <w:rsid w:val="442716E3"/>
    <w:rsid w:val="44623B29"/>
    <w:rsid w:val="448B1C16"/>
    <w:rsid w:val="44CB7E92"/>
    <w:rsid w:val="44D53D34"/>
    <w:rsid w:val="4551727C"/>
    <w:rsid w:val="456B6294"/>
    <w:rsid w:val="45E82159"/>
    <w:rsid w:val="460C19D8"/>
    <w:rsid w:val="46767799"/>
    <w:rsid w:val="475036EC"/>
    <w:rsid w:val="476304E5"/>
    <w:rsid w:val="48407E8B"/>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4DC6786"/>
    <w:rsid w:val="55CA45E9"/>
    <w:rsid w:val="55CE5FAF"/>
    <w:rsid w:val="568D4A8B"/>
    <w:rsid w:val="5787376C"/>
    <w:rsid w:val="58340631"/>
    <w:rsid w:val="584307E1"/>
    <w:rsid w:val="588621CE"/>
    <w:rsid w:val="588927B2"/>
    <w:rsid w:val="58A2012A"/>
    <w:rsid w:val="58AC03AC"/>
    <w:rsid w:val="58B3037A"/>
    <w:rsid w:val="596839FB"/>
    <w:rsid w:val="598F3C15"/>
    <w:rsid w:val="59BA0EC5"/>
    <w:rsid w:val="5A1256BA"/>
    <w:rsid w:val="5AB51CCA"/>
    <w:rsid w:val="5AB57322"/>
    <w:rsid w:val="5AB86B82"/>
    <w:rsid w:val="5BC0596D"/>
    <w:rsid w:val="5BE5635E"/>
    <w:rsid w:val="5C03587B"/>
    <w:rsid w:val="5C4805D9"/>
    <w:rsid w:val="5DA53F1B"/>
    <w:rsid w:val="5DC63FF9"/>
    <w:rsid w:val="5E2532CC"/>
    <w:rsid w:val="5FC627A0"/>
    <w:rsid w:val="5FD076A0"/>
    <w:rsid w:val="60CC0666"/>
    <w:rsid w:val="61393910"/>
    <w:rsid w:val="61DA4AD9"/>
    <w:rsid w:val="629D4803"/>
    <w:rsid w:val="62AE498D"/>
    <w:rsid w:val="63D57455"/>
    <w:rsid w:val="63FF44D2"/>
    <w:rsid w:val="64AB0CD1"/>
    <w:rsid w:val="64D84E1A"/>
    <w:rsid w:val="65675ED4"/>
    <w:rsid w:val="6683497C"/>
    <w:rsid w:val="676E5CC7"/>
    <w:rsid w:val="67E14BAB"/>
    <w:rsid w:val="67EE0AE5"/>
    <w:rsid w:val="67F00702"/>
    <w:rsid w:val="67F71E56"/>
    <w:rsid w:val="684C44B3"/>
    <w:rsid w:val="68880F3A"/>
    <w:rsid w:val="690F1726"/>
    <w:rsid w:val="69982932"/>
    <w:rsid w:val="6A2D5CB0"/>
    <w:rsid w:val="6ACF20CD"/>
    <w:rsid w:val="6BB90159"/>
    <w:rsid w:val="6C111246"/>
    <w:rsid w:val="6C124248"/>
    <w:rsid w:val="6C6B059F"/>
    <w:rsid w:val="6CA00B62"/>
    <w:rsid w:val="6CFE27E3"/>
    <w:rsid w:val="6D274D94"/>
    <w:rsid w:val="6D955447"/>
    <w:rsid w:val="6DD01AB0"/>
    <w:rsid w:val="6DEB139F"/>
    <w:rsid w:val="6E8B3FD1"/>
    <w:rsid w:val="6E9D5013"/>
    <w:rsid w:val="6F4D02A4"/>
    <w:rsid w:val="6FDB7D0C"/>
    <w:rsid w:val="706449CF"/>
    <w:rsid w:val="706B3710"/>
    <w:rsid w:val="706B4417"/>
    <w:rsid w:val="70784F6A"/>
    <w:rsid w:val="70B2470E"/>
    <w:rsid w:val="71817101"/>
    <w:rsid w:val="71943263"/>
    <w:rsid w:val="71B80224"/>
    <w:rsid w:val="720B21A0"/>
    <w:rsid w:val="72775B5D"/>
    <w:rsid w:val="72E163D5"/>
    <w:rsid w:val="730651BF"/>
    <w:rsid w:val="73F502A6"/>
    <w:rsid w:val="751540E3"/>
    <w:rsid w:val="757762DF"/>
    <w:rsid w:val="76085468"/>
    <w:rsid w:val="764861AD"/>
    <w:rsid w:val="765A1D4D"/>
    <w:rsid w:val="772B58B2"/>
    <w:rsid w:val="77822AD2"/>
    <w:rsid w:val="7846297D"/>
    <w:rsid w:val="791E0B39"/>
    <w:rsid w:val="79487052"/>
    <w:rsid w:val="79E06FD9"/>
    <w:rsid w:val="7A2B3BCE"/>
    <w:rsid w:val="7AC3206E"/>
    <w:rsid w:val="7AFF6ACD"/>
    <w:rsid w:val="7B436E21"/>
    <w:rsid w:val="7C6E1990"/>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8"/>
    <w:autoRedefine/>
    <w:qFormat/>
    <w:uiPriority w:val="0"/>
    <w:pPr>
      <w:spacing w:after="12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Quote"/>
    <w:basedOn w:val="1"/>
    <w:next w:val="1"/>
    <w:autoRedefine/>
    <w:unhideWhenUsed/>
    <w:qFormat/>
    <w:uiPriority w:val="99"/>
    <w:pPr>
      <w:ind w:left="864" w:right="864"/>
      <w:jc w:val="center"/>
    </w:pPr>
    <w:rPr>
      <w:rFonts w:ascii="Times New Roman" w:hAnsi="Times New Roman"/>
      <w:i/>
      <w:iCs/>
      <w:color w:val="404040"/>
      <w:szCs w:val="21"/>
    </w:rPr>
  </w:style>
  <w:style w:type="paragraph" w:styleId="10">
    <w:name w:val="Body Text Indent"/>
    <w:basedOn w:val="1"/>
    <w:next w:val="11"/>
    <w:link w:val="38"/>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39"/>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character" w:customStyle="1" w:styleId="34">
    <w:name w:val="font61"/>
    <w:basedOn w:val="22"/>
    <w:autoRedefine/>
    <w:qFormat/>
    <w:uiPriority w:val="0"/>
    <w:rPr>
      <w:rFonts w:hint="eastAsia" w:ascii="宋体" w:hAnsi="宋体" w:eastAsia="宋体" w:cs="宋体"/>
      <w:color w:val="000000"/>
      <w:sz w:val="20"/>
      <w:szCs w:val="20"/>
      <w:u w:val="none"/>
    </w:rPr>
  </w:style>
  <w:style w:type="character" w:customStyle="1" w:styleId="35">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6">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7">
    <w:name w:val="List Paragraph"/>
    <w:basedOn w:val="1"/>
    <w:autoRedefine/>
    <w:qFormat/>
    <w:uiPriority w:val="1"/>
    <w:pPr>
      <w:ind w:left="235" w:hanging="527"/>
    </w:pPr>
    <w:rPr>
      <w:rFonts w:ascii="宋体" w:hAnsi="宋体" w:eastAsia="宋体" w:cs="宋体"/>
      <w:lang w:val="zh-CN" w:eastAsia="zh-CN" w:bidi="zh-CN"/>
    </w:rPr>
  </w:style>
  <w:style w:type="character" w:customStyle="1" w:styleId="38">
    <w:name w:val="正文文本缩进 Char"/>
    <w:link w:val="10"/>
    <w:autoRedefine/>
    <w:qFormat/>
    <w:uiPriority w:val="0"/>
  </w:style>
  <w:style w:type="character" w:customStyle="1" w:styleId="39">
    <w:name w:val="纯文本 Char"/>
    <w:link w:val="12"/>
    <w:autoRedefine/>
    <w:qFormat/>
    <w:uiPriority w:val="0"/>
    <w:rPr>
      <w:rFonts w:ascii="宋体" w:hAnsi="Courier New"/>
      <w:szCs w:val="20"/>
    </w:rPr>
  </w:style>
  <w:style w:type="paragraph" w:customStyle="1" w:styleId="40">
    <w:name w:val="Table Paragraph"/>
    <w:basedOn w:val="1"/>
    <w:autoRedefine/>
    <w:qFormat/>
    <w:uiPriority w:val="1"/>
    <w:rPr>
      <w:rFonts w:ascii="宋体" w:hAnsi="宋体" w:eastAsia="宋体" w:cs="宋体"/>
    </w:rPr>
  </w:style>
  <w:style w:type="table" w:customStyle="1" w:styleId="41">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3">
    <w:name w:val="font21"/>
    <w:basedOn w:val="22"/>
    <w:autoRedefine/>
    <w:qFormat/>
    <w:uiPriority w:val="0"/>
    <w:rPr>
      <w:rFonts w:hint="default" w:ascii="Arial" w:hAnsi="Arial" w:cs="Arial"/>
      <w:color w:val="000000"/>
      <w:sz w:val="22"/>
      <w:szCs w:val="22"/>
      <w:u w:val="none"/>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16761</Words>
  <Characters>17608</Characters>
  <Lines>180</Lines>
  <Paragraphs>50</Paragraphs>
  <TotalTime>5</TotalTime>
  <ScaleCrop>false</ScaleCrop>
  <LinksUpToDate>false</LinksUpToDate>
  <CharactersWithSpaces>24023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高鹤鸣</cp:lastModifiedBy>
  <cp:lastPrinted>2023-10-11T07:52:00Z</cp:lastPrinted>
  <dcterms:modified xsi:type="dcterms:W3CDTF">2024-06-12T09:35:17Z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4D5DD6133309469B9D36541D13AEF882_13</vt:lpwstr>
  </property>
</Properties>
</file>