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hint="eastAsia"/>
          <w:lang w:eastAsia="zh-CN"/>
        </w:rPr>
      </w:pPr>
    </w:p>
    <w:p>
      <w:pPr>
        <w:pStyle w:val="10"/>
        <w:rPr>
          <w:rFonts w:hint="eastAsia"/>
          <w:lang w:eastAsia="zh-CN"/>
        </w:rPr>
      </w:pPr>
    </w:p>
    <w:p>
      <w:pPr>
        <w:spacing w:line="540" w:lineRule="exact"/>
        <w:jc w:val="center"/>
        <w:rPr>
          <w:rFonts w:ascii="Times New Roman" w:hAnsi="Times New Roman" w:cs="Times New Roman"/>
          <w:szCs w:val="21"/>
        </w:rPr>
      </w:pPr>
      <w:r>
        <w:rPr>
          <w:rFonts w:hint="eastAsia" w:ascii="宋体" w:hAnsi="宋体"/>
          <w:b/>
          <w:bCs/>
          <w:sz w:val="48"/>
          <w:szCs w:val="48"/>
          <w:highlight w:val="none"/>
          <w:u w:val="single"/>
          <w:lang w:eastAsia="zh-CN"/>
        </w:rPr>
        <w:t>安徽省DXL改造提升工程GY楼空调机房降振减噪专业分包</w:t>
      </w:r>
    </w:p>
    <w:p>
      <w:pPr>
        <w:pStyle w:val="10"/>
        <w:rPr>
          <w:rFonts w:ascii="Times New Roman" w:hAnsi="Times New Roman" w:cs="Times New Roman"/>
          <w:szCs w:val="21"/>
        </w:rPr>
      </w:pPr>
    </w:p>
    <w:p>
      <w:pPr>
        <w:pStyle w:val="10"/>
        <w:rPr>
          <w:rFonts w:ascii="Times New Roman" w:hAnsi="Times New Roman" w:cs="Times New Roman"/>
          <w:szCs w:val="21"/>
        </w:rPr>
      </w:pPr>
    </w:p>
    <w:p>
      <w:pPr>
        <w:pStyle w:val="10"/>
        <w:rPr>
          <w:rFonts w:ascii="Times New Roman" w:hAnsi="Times New Roman" w:cs="Times New Roman"/>
          <w:szCs w:val="21"/>
        </w:rPr>
      </w:pPr>
    </w:p>
    <w:p>
      <w:pPr>
        <w:pStyle w:val="14"/>
        <w:rPr>
          <w:rFonts w:ascii="Times New Roman" w:hAnsi="Times New Roman" w:cs="Times New Roman"/>
          <w:szCs w:val="21"/>
        </w:rPr>
      </w:pPr>
    </w:p>
    <w:p>
      <w:pPr>
        <w:jc w:val="center"/>
        <w:rPr>
          <w:rFonts w:hint="eastAsia" w:ascii="Times New Roman" w:hAnsi="Times New Roman" w:eastAsia="黑体" w:cs="Times New Roman"/>
          <w:sz w:val="72"/>
          <w:szCs w:val="72"/>
          <w:lang w:eastAsia="zh-CN"/>
        </w:rPr>
      </w:pPr>
      <w:r>
        <w:rPr>
          <w:rFonts w:ascii="Times New Roman" w:hAnsi="Times New Roman" w:eastAsia="黑体" w:cs="Times New Roman"/>
          <w:sz w:val="72"/>
          <w:szCs w:val="72"/>
        </w:rPr>
        <w:t>询  比  文  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pacing w:line="480" w:lineRule="auto"/>
        <w:ind w:left="1896" w:leftChars="903"/>
        <w:textAlignment w:val="auto"/>
        <w:rPr>
          <w:rFonts w:ascii="Times New Roman" w:hAnsi="Times New Roman" w:cs="Times New Roman"/>
          <w:szCs w:val="21"/>
        </w:rPr>
      </w:pPr>
    </w:p>
    <w:p>
      <w:pPr>
        <w:keepNext w:val="0"/>
        <w:keepLines w:val="0"/>
        <w:pageBreakBefore w:val="0"/>
        <w:widowControl w:val="0"/>
        <w:kinsoku/>
        <w:wordWrap/>
        <w:overflowPunct/>
        <w:topLinePunct w:val="0"/>
        <w:autoSpaceDE/>
        <w:autoSpaceDN/>
        <w:bidi w:val="0"/>
        <w:adjustRightInd/>
        <w:snapToGrid w:val="0"/>
        <w:spacing w:line="480" w:lineRule="auto"/>
        <w:ind w:firstLine="1280" w:firstLineChars="400"/>
        <w:jc w:val="both"/>
        <w:textAlignment w:val="auto"/>
        <w:rPr>
          <w:rFonts w:hint="default" w:ascii="Times New Roman" w:hAnsi="Times New Roman" w:eastAsia="黑体" w:cs="Times New Roman"/>
          <w:sz w:val="32"/>
          <w:szCs w:val="32"/>
          <w:u w:val="single"/>
          <w:lang w:eastAsia="zh-CN"/>
        </w:rPr>
      </w:pPr>
      <w:r>
        <w:rPr>
          <w:rFonts w:hint="default" w:ascii="Times New Roman" w:hAnsi="Times New Roman" w:eastAsia="黑体" w:cs="Times New Roman"/>
          <w:sz w:val="32"/>
          <w:szCs w:val="32"/>
        </w:rPr>
        <w:t>采</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购</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人：</w:t>
      </w:r>
      <w:r>
        <w:rPr>
          <w:rFonts w:hint="default" w:ascii="Times New Roman" w:hAnsi="Times New Roman" w:eastAsia="黑体" w:cs="Times New Roman"/>
          <w:sz w:val="32"/>
          <w:szCs w:val="32"/>
          <w:u w:val="single"/>
          <w:lang w:eastAsia="zh-CN"/>
        </w:rPr>
        <w:t>安徽交控建设工程集团有限公司</w:t>
      </w:r>
    </w:p>
    <w:p>
      <w:pPr>
        <w:keepNext w:val="0"/>
        <w:keepLines w:val="0"/>
        <w:pageBreakBefore w:val="0"/>
        <w:widowControl w:val="0"/>
        <w:kinsoku/>
        <w:wordWrap/>
        <w:overflowPunct/>
        <w:topLinePunct w:val="0"/>
        <w:autoSpaceDE/>
        <w:autoSpaceDN/>
        <w:bidi w:val="0"/>
        <w:adjustRightInd/>
        <w:snapToGrid w:val="0"/>
        <w:spacing w:line="480" w:lineRule="auto"/>
        <w:ind w:left="0" w:leftChars="0" w:firstLine="1280" w:firstLineChars="4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日    期</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u w:val="single"/>
          <w:lang w:val="en-US" w:eastAsia="zh-CN"/>
        </w:rPr>
        <w:t>2024</w:t>
      </w:r>
      <w:r>
        <w:rPr>
          <w:rFonts w:hint="default" w:ascii="Times New Roman" w:hAnsi="Times New Roman" w:eastAsia="黑体" w:cs="Times New Roman"/>
          <w:sz w:val="32"/>
          <w:szCs w:val="32"/>
        </w:rPr>
        <w:t>年</w:t>
      </w:r>
      <w:r>
        <w:rPr>
          <w:rFonts w:hint="eastAsia" w:ascii="Times New Roman" w:hAnsi="Times New Roman" w:eastAsia="黑体" w:cs="Times New Roman"/>
          <w:sz w:val="32"/>
          <w:szCs w:val="32"/>
          <w:u w:val="single"/>
          <w:lang w:val="en-US" w:eastAsia="zh-CN"/>
        </w:rPr>
        <w:t>6</w:t>
      </w:r>
      <w:r>
        <w:rPr>
          <w:rFonts w:hint="default" w:ascii="Times New Roman" w:hAnsi="Times New Roman" w:eastAsia="黑体" w:cs="Times New Roman"/>
          <w:sz w:val="32"/>
          <w:szCs w:val="32"/>
        </w:rPr>
        <w:t>月</w:t>
      </w:r>
    </w:p>
    <w:p>
      <w:pPr>
        <w:keepNext w:val="0"/>
        <w:keepLines w:val="0"/>
        <w:pageBreakBefore w:val="0"/>
        <w:widowControl w:val="0"/>
        <w:kinsoku/>
        <w:wordWrap/>
        <w:overflowPunct/>
        <w:topLinePunct w:val="0"/>
        <w:autoSpaceDE/>
        <w:autoSpaceDN/>
        <w:bidi w:val="0"/>
        <w:adjustRightInd/>
        <w:snapToGrid w:val="0"/>
        <w:spacing w:line="560" w:lineRule="exact"/>
        <w:ind w:left="0" w:leftChars="0"/>
        <w:jc w:val="center"/>
        <w:textAlignment w:val="auto"/>
        <w:rPr>
          <w:rFonts w:ascii="Times New Roman" w:hAnsi="Times New Roman" w:cs="Times New Roman"/>
          <w:sz w:val="32"/>
          <w:szCs w:val="32"/>
        </w:rPr>
      </w:pPr>
    </w:p>
    <w:p>
      <w:pPr>
        <w:snapToGrid w:val="0"/>
        <w:ind w:firstLine="1920" w:firstLineChars="600"/>
        <w:rPr>
          <w:rFonts w:ascii="Times New Roman" w:hAnsi="Times New Roman" w:cs="Times New Roman"/>
          <w:sz w:val="32"/>
          <w:szCs w:val="32"/>
        </w:rPr>
      </w:pPr>
    </w:p>
    <w:p>
      <w:pPr>
        <w:ind w:left="1896" w:leftChars="903"/>
        <w:rPr>
          <w:rFonts w:ascii="Times New Roman" w:hAnsi="Times New Roman" w:eastAsia="宋体" w:cs="Times New Roman"/>
          <w:sz w:val="24"/>
        </w:rPr>
        <w:sectPr>
          <w:footerReference r:id="rId3" w:type="default"/>
          <w:pgSz w:w="11906" w:h="16838"/>
          <w:pgMar w:top="1440" w:right="1800" w:bottom="1440" w:left="1800" w:header="851" w:footer="992" w:gutter="0"/>
          <w:pgNumType w:fmt="decimal"/>
          <w:cols w:space="425" w:num="1"/>
          <w:docGrid w:type="lines" w:linePitch="312" w:charSpace="0"/>
        </w:sectPr>
      </w:pPr>
    </w:p>
    <w:sdt>
      <w:sdtPr>
        <w:rPr>
          <w:rFonts w:ascii="宋体" w:hAnsi="宋体" w:eastAsia="宋体" w:cstheme="minorBidi"/>
          <w:b/>
          <w:bCs/>
          <w:kern w:val="2"/>
          <w:sz w:val="32"/>
          <w:szCs w:val="40"/>
          <w:lang w:val="en-US" w:eastAsia="zh-CN" w:bidi="ar-SA"/>
        </w:rPr>
        <w:id w:val="147468455"/>
        <w15:color w:val="DBDBDB"/>
        <w:docPartObj>
          <w:docPartGallery w:val="Table of Contents"/>
          <w:docPartUnique/>
        </w:docPartObj>
      </w:sdtPr>
      <w:sdtEndPr>
        <w:rPr>
          <w:rFonts w:ascii="宋体" w:hAnsi="宋体" w:eastAsia="宋体" w:cstheme="minorBidi"/>
          <w:b/>
          <w:bCs/>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b/>
              <w:bCs/>
              <w:sz w:val="32"/>
              <w:szCs w:val="40"/>
            </w:rPr>
          </w:pPr>
          <w:r>
            <w:rPr>
              <w:rFonts w:ascii="宋体" w:hAnsi="宋体" w:eastAsia="宋体"/>
              <w:b/>
              <w:bCs/>
              <w:sz w:val="32"/>
              <w:szCs w:val="40"/>
            </w:rPr>
            <w:t>目</w:t>
          </w:r>
          <w:r>
            <w:rPr>
              <w:rFonts w:hint="eastAsia" w:ascii="宋体" w:hAnsi="宋体" w:eastAsia="宋体"/>
              <w:b/>
              <w:bCs/>
              <w:sz w:val="32"/>
              <w:szCs w:val="40"/>
              <w:lang w:val="en-US" w:eastAsia="zh-CN"/>
            </w:rPr>
            <w:t xml:space="preserve"> </w:t>
          </w:r>
          <w:r>
            <w:rPr>
              <w:rFonts w:ascii="宋体" w:hAnsi="宋体" w:eastAsia="宋体"/>
              <w:b/>
              <w:bCs/>
              <w:sz w:val="32"/>
              <w:szCs w:val="40"/>
            </w:rPr>
            <w:t>录</w:t>
          </w:r>
        </w:p>
        <w:p>
          <w:pPr>
            <w:pStyle w:val="16"/>
            <w:tabs>
              <w:tab w:val="right" w:leader="dot" w:pos="8312"/>
            </w:tabs>
            <w:spacing w:line="360" w:lineRule="auto"/>
            <w:rPr>
              <w:sz w:val="24"/>
              <w:szCs w:val="24"/>
            </w:rPr>
          </w:pPr>
          <w:r>
            <w:rPr>
              <w:rFonts w:ascii="宋体" w:hAnsi="宋体" w:eastAsia="宋体"/>
              <w:sz w:val="24"/>
              <w:szCs w:val="24"/>
            </w:rPr>
            <w:fldChar w:fldCharType="begin"/>
          </w:r>
          <w:r>
            <w:rPr>
              <w:rFonts w:ascii="宋体" w:hAnsi="宋体" w:eastAsia="宋体"/>
              <w:sz w:val="24"/>
              <w:szCs w:val="24"/>
            </w:rPr>
            <w:instrText xml:space="preserve">TOC \o "1-1" \h \u </w:instrText>
          </w:r>
          <w:r>
            <w:rPr>
              <w:rFonts w:ascii="宋体" w:hAnsi="宋体" w:eastAsia="宋体"/>
              <w:sz w:val="24"/>
              <w:szCs w:val="24"/>
            </w:rPr>
            <w:fldChar w:fldCharType="separate"/>
          </w:r>
          <w:r>
            <w:rPr>
              <w:rFonts w:ascii="宋体" w:hAnsi="宋体" w:eastAsia="宋体"/>
              <w:sz w:val="24"/>
              <w:szCs w:val="24"/>
            </w:rPr>
            <w:fldChar w:fldCharType="begin"/>
          </w:r>
          <w:r>
            <w:rPr>
              <w:rFonts w:ascii="宋体" w:hAnsi="宋体" w:eastAsia="宋体"/>
              <w:sz w:val="24"/>
              <w:szCs w:val="24"/>
            </w:rPr>
            <w:instrText xml:space="preserve"> HYPERLINK \l _Toc21646 </w:instrText>
          </w:r>
          <w:r>
            <w:rPr>
              <w:rFonts w:ascii="宋体" w:hAnsi="宋体" w:eastAsia="宋体"/>
              <w:sz w:val="24"/>
              <w:szCs w:val="24"/>
            </w:rPr>
            <w:fldChar w:fldCharType="separate"/>
          </w:r>
          <w:r>
            <w:rPr>
              <w:rFonts w:hint="eastAsia" w:ascii="Times New Roman" w:hAnsi="Times New Roman" w:eastAsia="宋体" w:cs="Times New Roman"/>
              <w:sz w:val="24"/>
              <w:szCs w:val="24"/>
            </w:rPr>
            <w:t xml:space="preserve">第一章 </w:t>
          </w:r>
          <w:r>
            <w:rPr>
              <w:rFonts w:ascii="Times New Roman" w:hAnsi="Times New Roman" w:eastAsia="宋体" w:cs="Times New Roman"/>
              <w:sz w:val="24"/>
              <w:szCs w:val="24"/>
            </w:rPr>
            <w:t>采购公告</w:t>
          </w:r>
          <w:r>
            <w:rPr>
              <w:sz w:val="24"/>
              <w:szCs w:val="24"/>
            </w:rPr>
            <w:tab/>
          </w:r>
          <w:r>
            <w:rPr>
              <w:sz w:val="24"/>
              <w:szCs w:val="24"/>
            </w:rPr>
            <w:fldChar w:fldCharType="begin"/>
          </w:r>
          <w:r>
            <w:rPr>
              <w:sz w:val="24"/>
              <w:szCs w:val="24"/>
            </w:rPr>
            <w:instrText xml:space="preserve"> PAGEREF _Toc21646 \h </w:instrText>
          </w:r>
          <w:r>
            <w:rPr>
              <w:sz w:val="24"/>
              <w:szCs w:val="24"/>
            </w:rPr>
            <w:fldChar w:fldCharType="separate"/>
          </w:r>
          <w:r>
            <w:rPr>
              <w:sz w:val="24"/>
              <w:szCs w:val="24"/>
            </w:rPr>
            <w:t>3</w:t>
          </w:r>
          <w:r>
            <w:rPr>
              <w:sz w:val="24"/>
              <w:szCs w:val="24"/>
            </w:rPr>
            <w:fldChar w:fldCharType="end"/>
          </w:r>
          <w:r>
            <w:rPr>
              <w:rFonts w:ascii="宋体" w:hAnsi="宋体" w:eastAsia="宋体"/>
              <w:sz w:val="24"/>
              <w:szCs w:val="24"/>
            </w:rPr>
            <w:fldChar w:fldCharType="end"/>
          </w:r>
        </w:p>
        <w:p>
          <w:pPr>
            <w:pStyle w:val="16"/>
            <w:tabs>
              <w:tab w:val="right" w:leader="dot" w:pos="8312"/>
            </w:tabs>
            <w:spacing w:line="360" w:lineRule="auto"/>
            <w:rPr>
              <w:sz w:val="24"/>
              <w:szCs w:val="24"/>
            </w:rPr>
          </w:pPr>
          <w:r>
            <w:rPr>
              <w:rFonts w:ascii="宋体" w:hAnsi="宋体" w:eastAsia="宋体"/>
              <w:sz w:val="24"/>
              <w:szCs w:val="24"/>
            </w:rPr>
            <w:fldChar w:fldCharType="begin"/>
          </w:r>
          <w:r>
            <w:rPr>
              <w:rFonts w:ascii="宋体" w:hAnsi="宋体" w:eastAsia="宋体"/>
              <w:sz w:val="24"/>
              <w:szCs w:val="24"/>
            </w:rPr>
            <w:instrText xml:space="preserve"> HYPERLINK \l _Toc23331 </w:instrText>
          </w:r>
          <w:r>
            <w:rPr>
              <w:rFonts w:ascii="宋体" w:hAnsi="宋体" w:eastAsia="宋体"/>
              <w:sz w:val="24"/>
              <w:szCs w:val="24"/>
            </w:rPr>
            <w:fldChar w:fldCharType="separate"/>
          </w:r>
          <w:r>
            <w:rPr>
              <w:rFonts w:hint="eastAsia" w:ascii="Times New Roman" w:hAnsi="Times New Roman" w:eastAsia="宋体" w:cs="Times New Roman"/>
              <w:sz w:val="24"/>
              <w:szCs w:val="24"/>
            </w:rPr>
            <w:t xml:space="preserve">第二章 </w:t>
          </w:r>
          <w:r>
            <w:rPr>
              <w:rFonts w:ascii="Times New Roman" w:hAnsi="Times New Roman" w:eastAsia="宋体" w:cs="Times New Roman"/>
              <w:sz w:val="24"/>
              <w:szCs w:val="24"/>
            </w:rPr>
            <w:t>供应商须知</w:t>
          </w:r>
          <w:r>
            <w:rPr>
              <w:sz w:val="24"/>
              <w:szCs w:val="24"/>
            </w:rPr>
            <w:tab/>
          </w:r>
          <w:r>
            <w:rPr>
              <w:sz w:val="24"/>
              <w:szCs w:val="24"/>
            </w:rPr>
            <w:fldChar w:fldCharType="begin"/>
          </w:r>
          <w:r>
            <w:rPr>
              <w:sz w:val="24"/>
              <w:szCs w:val="24"/>
            </w:rPr>
            <w:instrText xml:space="preserve"> PAGEREF _Toc23331 \h </w:instrText>
          </w:r>
          <w:r>
            <w:rPr>
              <w:sz w:val="24"/>
              <w:szCs w:val="24"/>
            </w:rPr>
            <w:fldChar w:fldCharType="separate"/>
          </w:r>
          <w:r>
            <w:rPr>
              <w:sz w:val="24"/>
              <w:szCs w:val="24"/>
            </w:rPr>
            <w:t>6</w:t>
          </w:r>
          <w:r>
            <w:rPr>
              <w:sz w:val="24"/>
              <w:szCs w:val="24"/>
            </w:rPr>
            <w:fldChar w:fldCharType="end"/>
          </w:r>
          <w:r>
            <w:rPr>
              <w:rFonts w:ascii="宋体" w:hAnsi="宋体" w:eastAsia="宋体"/>
              <w:sz w:val="24"/>
              <w:szCs w:val="24"/>
            </w:rPr>
            <w:fldChar w:fldCharType="end"/>
          </w:r>
        </w:p>
        <w:p>
          <w:pPr>
            <w:pStyle w:val="16"/>
            <w:tabs>
              <w:tab w:val="right" w:leader="dot" w:pos="8312"/>
            </w:tabs>
            <w:spacing w:line="360" w:lineRule="auto"/>
            <w:rPr>
              <w:sz w:val="24"/>
              <w:szCs w:val="24"/>
            </w:rPr>
          </w:pPr>
          <w:r>
            <w:rPr>
              <w:rFonts w:ascii="宋体" w:hAnsi="宋体" w:eastAsia="宋体"/>
              <w:sz w:val="24"/>
              <w:szCs w:val="24"/>
            </w:rPr>
            <w:fldChar w:fldCharType="begin"/>
          </w:r>
          <w:r>
            <w:rPr>
              <w:rFonts w:ascii="宋体" w:hAnsi="宋体" w:eastAsia="宋体"/>
              <w:sz w:val="24"/>
              <w:szCs w:val="24"/>
            </w:rPr>
            <w:instrText xml:space="preserve"> HYPERLINK \l _Toc25104 </w:instrText>
          </w:r>
          <w:r>
            <w:rPr>
              <w:rFonts w:ascii="宋体" w:hAnsi="宋体" w:eastAsia="宋体"/>
              <w:sz w:val="24"/>
              <w:szCs w:val="24"/>
            </w:rPr>
            <w:fldChar w:fldCharType="separate"/>
          </w:r>
          <w:r>
            <w:rPr>
              <w:rFonts w:hint="eastAsia" w:ascii="Times New Roman" w:hAnsi="Times New Roman" w:eastAsia="宋体" w:cs="Times New Roman"/>
              <w:sz w:val="24"/>
              <w:szCs w:val="24"/>
            </w:rPr>
            <w:t xml:space="preserve">第三章 </w:t>
          </w:r>
          <w:r>
            <w:rPr>
              <w:rFonts w:ascii="Times New Roman" w:hAnsi="Times New Roman" w:eastAsia="宋体" w:cs="Times New Roman"/>
              <w:sz w:val="24"/>
              <w:szCs w:val="24"/>
            </w:rPr>
            <w:t>评审办法</w:t>
          </w:r>
          <w:r>
            <w:rPr>
              <w:sz w:val="24"/>
              <w:szCs w:val="24"/>
            </w:rPr>
            <w:tab/>
          </w:r>
          <w:r>
            <w:rPr>
              <w:sz w:val="24"/>
              <w:szCs w:val="24"/>
            </w:rPr>
            <w:fldChar w:fldCharType="begin"/>
          </w:r>
          <w:r>
            <w:rPr>
              <w:sz w:val="24"/>
              <w:szCs w:val="24"/>
            </w:rPr>
            <w:instrText xml:space="preserve"> PAGEREF _Toc25104 \h </w:instrText>
          </w:r>
          <w:r>
            <w:rPr>
              <w:sz w:val="24"/>
              <w:szCs w:val="24"/>
            </w:rPr>
            <w:fldChar w:fldCharType="separate"/>
          </w:r>
          <w:r>
            <w:rPr>
              <w:sz w:val="24"/>
              <w:szCs w:val="24"/>
            </w:rPr>
            <w:t>16</w:t>
          </w:r>
          <w:r>
            <w:rPr>
              <w:sz w:val="24"/>
              <w:szCs w:val="24"/>
            </w:rPr>
            <w:fldChar w:fldCharType="end"/>
          </w:r>
          <w:r>
            <w:rPr>
              <w:rFonts w:ascii="宋体" w:hAnsi="宋体" w:eastAsia="宋体"/>
              <w:sz w:val="24"/>
              <w:szCs w:val="24"/>
            </w:rPr>
            <w:fldChar w:fldCharType="end"/>
          </w:r>
        </w:p>
        <w:p>
          <w:pPr>
            <w:pStyle w:val="16"/>
            <w:tabs>
              <w:tab w:val="right" w:leader="dot" w:pos="8312"/>
            </w:tabs>
            <w:spacing w:line="360" w:lineRule="auto"/>
            <w:rPr>
              <w:sz w:val="24"/>
              <w:szCs w:val="24"/>
            </w:rPr>
          </w:pPr>
          <w:r>
            <w:rPr>
              <w:rFonts w:ascii="宋体" w:hAnsi="宋体" w:eastAsia="宋体"/>
              <w:sz w:val="24"/>
              <w:szCs w:val="24"/>
            </w:rPr>
            <w:fldChar w:fldCharType="begin"/>
          </w:r>
          <w:r>
            <w:rPr>
              <w:rFonts w:ascii="宋体" w:hAnsi="宋体" w:eastAsia="宋体"/>
              <w:sz w:val="24"/>
              <w:szCs w:val="24"/>
            </w:rPr>
            <w:instrText xml:space="preserve"> HYPERLINK \l _Toc27638 </w:instrText>
          </w:r>
          <w:r>
            <w:rPr>
              <w:rFonts w:ascii="宋体" w:hAnsi="宋体" w:eastAsia="宋体"/>
              <w:sz w:val="24"/>
              <w:szCs w:val="24"/>
            </w:rPr>
            <w:fldChar w:fldCharType="separate"/>
          </w:r>
          <w:r>
            <w:rPr>
              <w:rFonts w:hint="eastAsia" w:ascii="Times New Roman" w:hAnsi="Times New Roman" w:eastAsia="宋体" w:cs="Times New Roman"/>
              <w:sz w:val="24"/>
              <w:szCs w:val="24"/>
              <w:lang w:val="en-US" w:eastAsia="zh-CN"/>
            </w:rPr>
            <w:t xml:space="preserve">第四章 </w:t>
          </w:r>
          <w:r>
            <w:rPr>
              <w:rFonts w:ascii="Times New Roman" w:hAnsi="Times New Roman" w:eastAsia="宋体" w:cs="Times New Roman"/>
              <w:sz w:val="24"/>
              <w:szCs w:val="24"/>
            </w:rPr>
            <w:t>合同内容</w:t>
          </w:r>
          <w:r>
            <w:rPr>
              <w:sz w:val="24"/>
              <w:szCs w:val="24"/>
            </w:rPr>
            <w:tab/>
          </w:r>
          <w:r>
            <w:rPr>
              <w:sz w:val="24"/>
              <w:szCs w:val="24"/>
            </w:rPr>
            <w:fldChar w:fldCharType="begin"/>
          </w:r>
          <w:r>
            <w:rPr>
              <w:sz w:val="24"/>
              <w:szCs w:val="24"/>
            </w:rPr>
            <w:instrText xml:space="preserve"> PAGEREF _Toc27638 \h </w:instrText>
          </w:r>
          <w:r>
            <w:rPr>
              <w:sz w:val="24"/>
              <w:szCs w:val="24"/>
            </w:rPr>
            <w:fldChar w:fldCharType="separate"/>
          </w:r>
          <w:r>
            <w:rPr>
              <w:sz w:val="24"/>
              <w:szCs w:val="24"/>
            </w:rPr>
            <w:t>24</w:t>
          </w:r>
          <w:r>
            <w:rPr>
              <w:sz w:val="24"/>
              <w:szCs w:val="24"/>
            </w:rPr>
            <w:fldChar w:fldCharType="end"/>
          </w:r>
          <w:r>
            <w:rPr>
              <w:rFonts w:ascii="宋体" w:hAnsi="宋体" w:eastAsia="宋体"/>
              <w:sz w:val="24"/>
              <w:szCs w:val="24"/>
            </w:rPr>
            <w:fldChar w:fldCharType="end"/>
          </w:r>
        </w:p>
        <w:p>
          <w:pPr>
            <w:pStyle w:val="16"/>
            <w:tabs>
              <w:tab w:val="right" w:leader="dot" w:pos="8312"/>
            </w:tabs>
            <w:spacing w:line="360" w:lineRule="auto"/>
            <w:rPr>
              <w:sz w:val="24"/>
              <w:szCs w:val="24"/>
            </w:rPr>
          </w:pPr>
          <w:r>
            <w:rPr>
              <w:rFonts w:ascii="宋体" w:hAnsi="宋体" w:eastAsia="宋体"/>
              <w:sz w:val="24"/>
              <w:szCs w:val="24"/>
            </w:rPr>
            <w:fldChar w:fldCharType="begin"/>
          </w:r>
          <w:r>
            <w:rPr>
              <w:rFonts w:ascii="宋体" w:hAnsi="宋体" w:eastAsia="宋体"/>
              <w:sz w:val="24"/>
              <w:szCs w:val="24"/>
            </w:rPr>
            <w:instrText xml:space="preserve"> HYPERLINK \l _Toc26161 </w:instrText>
          </w:r>
          <w:r>
            <w:rPr>
              <w:rFonts w:ascii="宋体" w:hAnsi="宋体" w:eastAsia="宋体"/>
              <w:sz w:val="24"/>
              <w:szCs w:val="24"/>
            </w:rPr>
            <w:fldChar w:fldCharType="separate"/>
          </w:r>
          <w:r>
            <w:rPr>
              <w:rFonts w:hint="eastAsia" w:ascii="Times New Roman" w:hAnsi="Times New Roman" w:eastAsia="宋体" w:cs="Times New Roman"/>
              <w:sz w:val="24"/>
              <w:szCs w:val="24"/>
              <w:lang w:val="en-US" w:eastAsia="zh-CN"/>
            </w:rPr>
            <w:t>第五章 工程量清单</w:t>
          </w:r>
          <w:r>
            <w:rPr>
              <w:sz w:val="24"/>
              <w:szCs w:val="24"/>
            </w:rPr>
            <w:tab/>
          </w:r>
          <w:r>
            <w:rPr>
              <w:sz w:val="24"/>
              <w:szCs w:val="24"/>
            </w:rPr>
            <w:fldChar w:fldCharType="begin"/>
          </w:r>
          <w:r>
            <w:rPr>
              <w:sz w:val="24"/>
              <w:szCs w:val="24"/>
            </w:rPr>
            <w:instrText xml:space="preserve"> PAGEREF _Toc26161 \h </w:instrText>
          </w:r>
          <w:r>
            <w:rPr>
              <w:sz w:val="24"/>
              <w:szCs w:val="24"/>
            </w:rPr>
            <w:fldChar w:fldCharType="separate"/>
          </w:r>
          <w:r>
            <w:rPr>
              <w:sz w:val="24"/>
              <w:szCs w:val="24"/>
            </w:rPr>
            <w:t>25</w:t>
          </w:r>
          <w:r>
            <w:rPr>
              <w:sz w:val="24"/>
              <w:szCs w:val="24"/>
            </w:rPr>
            <w:fldChar w:fldCharType="end"/>
          </w:r>
          <w:r>
            <w:rPr>
              <w:rFonts w:ascii="宋体" w:hAnsi="宋体" w:eastAsia="宋体"/>
              <w:sz w:val="24"/>
              <w:szCs w:val="24"/>
            </w:rPr>
            <w:fldChar w:fldCharType="end"/>
          </w:r>
        </w:p>
        <w:p>
          <w:pPr>
            <w:pStyle w:val="16"/>
            <w:tabs>
              <w:tab w:val="right" w:leader="dot" w:pos="8312"/>
            </w:tabs>
            <w:spacing w:line="360" w:lineRule="auto"/>
            <w:rPr>
              <w:sz w:val="24"/>
              <w:szCs w:val="24"/>
            </w:rPr>
          </w:pPr>
          <w:r>
            <w:rPr>
              <w:rFonts w:ascii="宋体" w:hAnsi="宋体" w:eastAsia="宋体"/>
              <w:sz w:val="24"/>
              <w:szCs w:val="24"/>
            </w:rPr>
            <w:fldChar w:fldCharType="begin"/>
          </w:r>
          <w:r>
            <w:rPr>
              <w:rFonts w:ascii="宋体" w:hAnsi="宋体" w:eastAsia="宋体"/>
              <w:sz w:val="24"/>
              <w:szCs w:val="24"/>
            </w:rPr>
            <w:instrText xml:space="preserve"> HYPERLINK \l _Toc5103 </w:instrText>
          </w:r>
          <w:r>
            <w:rPr>
              <w:rFonts w:ascii="宋体" w:hAnsi="宋体" w:eastAsia="宋体"/>
              <w:sz w:val="24"/>
              <w:szCs w:val="24"/>
            </w:rPr>
            <w:fldChar w:fldCharType="separate"/>
          </w:r>
          <w:r>
            <w:rPr>
              <w:rFonts w:hint="eastAsia" w:ascii="Times New Roman" w:hAnsi="Times New Roman" w:eastAsia="宋体" w:cs="Times New Roman"/>
              <w:sz w:val="24"/>
              <w:szCs w:val="24"/>
              <w:lang w:val="en-US" w:eastAsia="zh-CN"/>
            </w:rPr>
            <w:t>第六章 图纸</w:t>
          </w:r>
          <w:r>
            <w:rPr>
              <w:sz w:val="24"/>
              <w:szCs w:val="24"/>
            </w:rPr>
            <w:tab/>
          </w:r>
          <w:r>
            <w:rPr>
              <w:sz w:val="24"/>
              <w:szCs w:val="24"/>
            </w:rPr>
            <w:fldChar w:fldCharType="begin"/>
          </w:r>
          <w:r>
            <w:rPr>
              <w:sz w:val="24"/>
              <w:szCs w:val="24"/>
            </w:rPr>
            <w:instrText xml:space="preserve"> PAGEREF _Toc5103 \h </w:instrText>
          </w:r>
          <w:r>
            <w:rPr>
              <w:sz w:val="24"/>
              <w:szCs w:val="24"/>
            </w:rPr>
            <w:fldChar w:fldCharType="separate"/>
          </w:r>
          <w:r>
            <w:rPr>
              <w:sz w:val="24"/>
              <w:szCs w:val="24"/>
            </w:rPr>
            <w:t>26</w:t>
          </w:r>
          <w:r>
            <w:rPr>
              <w:sz w:val="24"/>
              <w:szCs w:val="24"/>
            </w:rPr>
            <w:fldChar w:fldCharType="end"/>
          </w:r>
          <w:r>
            <w:rPr>
              <w:rFonts w:ascii="宋体" w:hAnsi="宋体" w:eastAsia="宋体"/>
              <w:sz w:val="24"/>
              <w:szCs w:val="24"/>
            </w:rPr>
            <w:fldChar w:fldCharType="end"/>
          </w:r>
        </w:p>
        <w:p>
          <w:pPr>
            <w:pStyle w:val="16"/>
            <w:tabs>
              <w:tab w:val="right" w:leader="dot" w:pos="8312"/>
            </w:tabs>
            <w:spacing w:line="360" w:lineRule="auto"/>
            <w:rPr>
              <w:sz w:val="24"/>
              <w:szCs w:val="24"/>
            </w:rPr>
          </w:pPr>
          <w:r>
            <w:rPr>
              <w:rFonts w:ascii="宋体" w:hAnsi="宋体" w:eastAsia="宋体"/>
              <w:sz w:val="24"/>
              <w:szCs w:val="24"/>
            </w:rPr>
            <w:fldChar w:fldCharType="begin"/>
          </w:r>
          <w:r>
            <w:rPr>
              <w:rFonts w:ascii="宋体" w:hAnsi="宋体" w:eastAsia="宋体"/>
              <w:sz w:val="24"/>
              <w:szCs w:val="24"/>
            </w:rPr>
            <w:instrText xml:space="preserve"> HYPERLINK \l _Toc18650 </w:instrText>
          </w:r>
          <w:r>
            <w:rPr>
              <w:rFonts w:ascii="宋体" w:hAnsi="宋体" w:eastAsia="宋体"/>
              <w:sz w:val="24"/>
              <w:szCs w:val="24"/>
            </w:rPr>
            <w:fldChar w:fldCharType="separate"/>
          </w:r>
          <w:r>
            <w:rPr>
              <w:rFonts w:hint="eastAsia" w:ascii="Times New Roman" w:hAnsi="Times New Roman" w:eastAsia="宋体" w:cs="Times New Roman"/>
              <w:sz w:val="24"/>
              <w:szCs w:val="24"/>
              <w:lang w:val="en-US" w:eastAsia="zh-CN"/>
            </w:rPr>
            <w:t>第七章 技术标准和要求</w:t>
          </w:r>
          <w:r>
            <w:rPr>
              <w:sz w:val="24"/>
              <w:szCs w:val="24"/>
            </w:rPr>
            <w:tab/>
          </w:r>
          <w:r>
            <w:rPr>
              <w:sz w:val="24"/>
              <w:szCs w:val="24"/>
            </w:rPr>
            <w:fldChar w:fldCharType="begin"/>
          </w:r>
          <w:r>
            <w:rPr>
              <w:sz w:val="24"/>
              <w:szCs w:val="24"/>
            </w:rPr>
            <w:instrText xml:space="preserve"> PAGEREF _Toc18650 \h </w:instrText>
          </w:r>
          <w:r>
            <w:rPr>
              <w:sz w:val="24"/>
              <w:szCs w:val="24"/>
            </w:rPr>
            <w:fldChar w:fldCharType="separate"/>
          </w:r>
          <w:r>
            <w:rPr>
              <w:sz w:val="24"/>
              <w:szCs w:val="24"/>
            </w:rPr>
            <w:t>27</w:t>
          </w:r>
          <w:r>
            <w:rPr>
              <w:sz w:val="24"/>
              <w:szCs w:val="24"/>
            </w:rPr>
            <w:fldChar w:fldCharType="end"/>
          </w:r>
          <w:r>
            <w:rPr>
              <w:rFonts w:ascii="宋体" w:hAnsi="宋体" w:eastAsia="宋体"/>
              <w:sz w:val="24"/>
              <w:szCs w:val="24"/>
            </w:rPr>
            <w:fldChar w:fldCharType="end"/>
          </w:r>
        </w:p>
        <w:p>
          <w:pPr>
            <w:pStyle w:val="16"/>
            <w:tabs>
              <w:tab w:val="right" w:leader="dot" w:pos="8312"/>
            </w:tabs>
            <w:spacing w:line="360" w:lineRule="auto"/>
            <w:rPr>
              <w:sz w:val="24"/>
              <w:szCs w:val="24"/>
            </w:rPr>
          </w:pPr>
          <w:r>
            <w:rPr>
              <w:rFonts w:ascii="宋体" w:hAnsi="宋体" w:eastAsia="宋体"/>
              <w:sz w:val="24"/>
              <w:szCs w:val="24"/>
            </w:rPr>
            <w:fldChar w:fldCharType="begin"/>
          </w:r>
          <w:r>
            <w:rPr>
              <w:rFonts w:ascii="宋体" w:hAnsi="宋体" w:eastAsia="宋体"/>
              <w:sz w:val="24"/>
              <w:szCs w:val="24"/>
            </w:rPr>
            <w:instrText xml:space="preserve"> HYPERLINK \l _Toc30039 </w:instrText>
          </w:r>
          <w:r>
            <w:rPr>
              <w:rFonts w:ascii="宋体" w:hAnsi="宋体" w:eastAsia="宋体"/>
              <w:sz w:val="24"/>
              <w:szCs w:val="24"/>
            </w:rPr>
            <w:fldChar w:fldCharType="separate"/>
          </w:r>
          <w:r>
            <w:rPr>
              <w:rFonts w:hint="eastAsia" w:ascii="Times New Roman" w:hAnsi="Times New Roman" w:eastAsia="宋体" w:cs="Times New Roman"/>
              <w:sz w:val="24"/>
              <w:szCs w:val="24"/>
              <w:lang w:val="en-US" w:eastAsia="zh-CN"/>
            </w:rPr>
            <w:t xml:space="preserve">第八章 </w:t>
          </w:r>
          <w:r>
            <w:rPr>
              <w:rFonts w:hint="eastAsia" w:ascii="Times New Roman" w:hAnsi="Times New Roman" w:eastAsia="宋体" w:cs="Times New Roman"/>
              <w:sz w:val="24"/>
              <w:szCs w:val="24"/>
            </w:rPr>
            <w:t>响应文件格式</w:t>
          </w:r>
          <w:r>
            <w:rPr>
              <w:sz w:val="24"/>
              <w:szCs w:val="24"/>
            </w:rPr>
            <w:tab/>
          </w:r>
          <w:r>
            <w:rPr>
              <w:sz w:val="24"/>
              <w:szCs w:val="24"/>
            </w:rPr>
            <w:fldChar w:fldCharType="begin"/>
          </w:r>
          <w:r>
            <w:rPr>
              <w:sz w:val="24"/>
              <w:szCs w:val="24"/>
            </w:rPr>
            <w:instrText xml:space="preserve"> PAGEREF _Toc30039 \h </w:instrText>
          </w:r>
          <w:r>
            <w:rPr>
              <w:sz w:val="24"/>
              <w:szCs w:val="24"/>
            </w:rPr>
            <w:fldChar w:fldCharType="separate"/>
          </w:r>
          <w:r>
            <w:rPr>
              <w:sz w:val="24"/>
              <w:szCs w:val="24"/>
            </w:rPr>
            <w:t>28</w:t>
          </w:r>
          <w:r>
            <w:rPr>
              <w:sz w:val="24"/>
              <w:szCs w:val="24"/>
            </w:rPr>
            <w:fldChar w:fldCharType="end"/>
          </w:r>
          <w:r>
            <w:rPr>
              <w:rFonts w:ascii="宋体" w:hAnsi="宋体" w:eastAsia="宋体"/>
              <w:sz w:val="24"/>
              <w:szCs w:val="24"/>
            </w:rPr>
            <w:fldChar w:fldCharType="end"/>
          </w:r>
        </w:p>
        <w:p>
          <w:pPr>
            <w:spacing w:line="360" w:lineRule="auto"/>
            <w:jc w:val="center"/>
            <w:rPr>
              <w:rFonts w:ascii="宋体" w:hAnsi="宋体" w:eastAsia="宋体"/>
            </w:rPr>
          </w:pPr>
          <w:r>
            <w:rPr>
              <w:rFonts w:ascii="宋体" w:hAnsi="宋体" w:eastAsia="宋体"/>
              <w:sz w:val="24"/>
              <w:szCs w:val="24"/>
            </w:rPr>
            <w:fldChar w:fldCharType="end"/>
          </w:r>
        </w:p>
      </w:sdtContent>
    </w:sdt>
    <w:p>
      <w:pPr>
        <w:jc w:val="center"/>
        <w:rPr>
          <w:rFonts w:ascii="宋体" w:hAnsi="宋体" w:eastAsia="宋体"/>
        </w:rPr>
      </w:pPr>
    </w:p>
    <w:p>
      <w:pPr>
        <w:jc w:val="center"/>
        <w:rPr>
          <w:rFonts w:ascii="宋体" w:hAnsi="宋体" w:eastAsia="宋体"/>
        </w:rPr>
      </w:pPr>
    </w:p>
    <w:p>
      <w:pPr>
        <w:pStyle w:val="5"/>
        <w:spacing w:before="312" w:after="312"/>
        <w:rPr>
          <w:rFonts w:ascii="Times New Roman" w:hAnsi="Times New Roman" w:eastAsia="宋体" w:cs="Times New Roman"/>
        </w:rPr>
        <w:sectPr>
          <w:footerReference r:id="rId4" w:type="default"/>
          <w:footnotePr>
            <w:numFmt w:val="decimalEnclosedCircleChinese"/>
            <w:numRestart w:val="eachPage"/>
          </w:footnotePr>
          <w:pgSz w:w="11906" w:h="16838"/>
          <w:pgMar w:top="1440" w:right="1797" w:bottom="1440" w:left="1797" w:header="851" w:footer="992" w:gutter="0"/>
          <w:pgNumType w:fmt="decimal"/>
          <w:cols w:space="720" w:num="1"/>
          <w:docGrid w:type="linesAndChars" w:linePitch="312" w:charSpace="0"/>
        </w:sectPr>
      </w:pPr>
    </w:p>
    <w:p>
      <w:pPr>
        <w:pStyle w:val="5"/>
        <w:spacing w:before="312" w:after="312"/>
        <w:rPr>
          <w:rFonts w:ascii="Times New Roman" w:hAnsi="Times New Roman" w:eastAsia="宋体" w:cs="Times New Roman"/>
        </w:rPr>
      </w:pPr>
      <w:bookmarkStart w:id="0" w:name="_Toc21646"/>
      <w:r>
        <w:rPr>
          <w:rFonts w:ascii="Times New Roman" w:hAnsi="Times New Roman" w:eastAsia="宋体" w:cs="Times New Roman"/>
        </w:rPr>
        <w:t>采购公告</w:t>
      </w:r>
      <w:bookmarkEnd w:id="0"/>
    </w:p>
    <w:p>
      <w:pPr>
        <w:pStyle w:val="6"/>
        <w:snapToGrid w:val="0"/>
        <w:spacing w:before="120" w:after="120" w:line="240" w:lineRule="auto"/>
        <w:ind w:firstLine="403"/>
        <w:rPr>
          <w:rFonts w:ascii="Times New Roman" w:hAnsi="Times New Roman" w:eastAsia="黑体" w:cs="Times New Roman"/>
          <w:b w:val="0"/>
          <w:sz w:val="22"/>
          <w:szCs w:val="15"/>
        </w:rPr>
      </w:pPr>
      <w:bookmarkStart w:id="1" w:name="_Toc12765"/>
      <w:bookmarkStart w:id="2" w:name="_Toc6496_WPSOffice_Level2"/>
      <w:bookmarkStart w:id="3" w:name="_Toc13871"/>
      <w:bookmarkStart w:id="4" w:name="_Toc24354_WPSOffice_Level2"/>
      <w:bookmarkStart w:id="5" w:name="_Toc10395_WPSOffice_Level2"/>
      <w:bookmarkStart w:id="6" w:name="_Toc4489_WPSOffice_Level2"/>
      <w:bookmarkStart w:id="7" w:name="_Toc525632585"/>
      <w:r>
        <w:rPr>
          <w:rFonts w:ascii="Times New Roman" w:hAnsi="Times New Roman" w:eastAsia="黑体" w:cs="Times New Roman"/>
          <w:b w:val="0"/>
          <w:sz w:val="22"/>
          <w:szCs w:val="15"/>
        </w:rPr>
        <w:t>项目简介</w:t>
      </w:r>
      <w:bookmarkEnd w:id="1"/>
      <w:bookmarkEnd w:id="2"/>
      <w:bookmarkEnd w:id="3"/>
      <w:bookmarkEnd w:id="4"/>
      <w:bookmarkEnd w:id="5"/>
      <w:bookmarkEnd w:id="6"/>
      <w:bookmarkEnd w:id="7"/>
    </w:p>
    <w:p>
      <w:pPr>
        <w:snapToGrid w:val="0"/>
        <w:spacing w:line="44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1.1项目名称：</w:t>
      </w:r>
      <w:r>
        <w:rPr>
          <w:rFonts w:hint="eastAsia" w:ascii="宋体" w:hAnsi="宋体" w:eastAsia="宋体" w:cs="宋体"/>
          <w:szCs w:val="21"/>
          <w:u w:val="single"/>
          <w:lang w:val="en-US" w:eastAsia="zh-CN"/>
        </w:rPr>
        <w:t>安徽省DXL改造提升工程GY楼空调机房降振减噪专业分包</w:t>
      </w:r>
    </w:p>
    <w:p>
      <w:pPr>
        <w:snapToGrid w:val="0"/>
        <w:spacing w:line="440" w:lineRule="exact"/>
        <w:ind w:firstLine="420" w:firstLineChars="200"/>
        <w:rPr>
          <w:rFonts w:hint="eastAsia" w:ascii="宋体" w:hAnsi="宋体" w:eastAsia="宋体" w:cs="宋体"/>
          <w:sz w:val="21"/>
          <w:szCs w:val="21"/>
          <w:lang w:val="en-US"/>
        </w:rPr>
      </w:pPr>
      <w:r>
        <w:rPr>
          <w:rFonts w:hint="eastAsia" w:ascii="宋体" w:hAnsi="宋体" w:eastAsia="宋体" w:cs="宋体"/>
          <w:sz w:val="21"/>
          <w:szCs w:val="21"/>
        </w:rPr>
        <w:t>1.2 采 购 人：</w:t>
      </w:r>
      <w:r>
        <w:rPr>
          <w:rFonts w:hint="eastAsia" w:ascii="宋体" w:hAnsi="宋体" w:eastAsia="宋体" w:cs="宋体"/>
          <w:sz w:val="21"/>
          <w:szCs w:val="21"/>
          <w:u w:val="single"/>
          <w:lang w:eastAsia="zh-CN"/>
        </w:rPr>
        <w:t>安徽交控建设工程集团有限公司</w:t>
      </w:r>
    </w:p>
    <w:p>
      <w:pPr>
        <w:snapToGrid w:val="0"/>
        <w:spacing w:line="440" w:lineRule="exact"/>
        <w:ind w:firstLine="420" w:firstLineChars="200"/>
        <w:rPr>
          <w:rFonts w:hint="eastAsia" w:ascii="宋体" w:hAnsi="宋体" w:eastAsia="宋体" w:cs="宋体"/>
          <w:kern w:val="0"/>
          <w:sz w:val="21"/>
          <w:szCs w:val="21"/>
          <w:highlight w:val="none"/>
          <w:u w:val="none"/>
          <w:lang w:eastAsia="zh-CN"/>
        </w:rPr>
      </w:pPr>
      <w:r>
        <w:rPr>
          <w:rFonts w:hint="eastAsia" w:ascii="宋体" w:hAnsi="宋体" w:eastAsia="宋体" w:cs="宋体"/>
          <w:sz w:val="21"/>
          <w:szCs w:val="21"/>
        </w:rPr>
        <w:t>1.3 项目概况：</w:t>
      </w:r>
      <w:r>
        <w:rPr>
          <w:rFonts w:hint="eastAsia" w:ascii="宋体" w:hAnsi="宋体" w:eastAsia="宋体" w:cs="宋体"/>
          <w:sz w:val="21"/>
          <w:szCs w:val="21"/>
          <w:u w:val="single"/>
          <w:lang w:eastAsia="zh-CN"/>
        </w:rPr>
        <w:t>安徽省DXL改造提升工程GY楼空调机房降振减噪专业分包</w:t>
      </w:r>
      <w:r>
        <w:rPr>
          <w:rFonts w:hint="eastAsia" w:ascii="宋体" w:hAnsi="宋体" w:eastAsia="宋体" w:cs="宋体"/>
          <w:kern w:val="0"/>
          <w:sz w:val="21"/>
          <w:szCs w:val="21"/>
          <w:highlight w:val="none"/>
          <w:u w:val="none"/>
          <w:lang w:eastAsia="zh-CN"/>
        </w:rPr>
        <w:t>。</w:t>
      </w:r>
    </w:p>
    <w:p>
      <w:pPr>
        <w:snapToGrid w:val="0"/>
        <w:spacing w:line="440" w:lineRule="exact"/>
        <w:ind w:firstLine="420" w:firstLineChars="200"/>
        <w:rPr>
          <w:rFonts w:hint="eastAsia"/>
          <w:color w:val="auto"/>
          <w:highlight w:val="none"/>
        </w:rPr>
      </w:pPr>
      <w:r>
        <w:rPr>
          <w:rFonts w:hint="eastAsia" w:ascii="宋体" w:hAnsi="宋体" w:eastAsia="宋体" w:cs="宋体"/>
          <w:color w:val="auto"/>
          <w:sz w:val="21"/>
          <w:szCs w:val="21"/>
          <w:highlight w:val="none"/>
        </w:rPr>
        <w:t xml:space="preserve">1.3 </w:t>
      </w:r>
      <w:r>
        <w:rPr>
          <w:rFonts w:hint="eastAsia" w:ascii="宋体" w:hAnsi="宋体" w:eastAsia="宋体" w:cs="宋体"/>
          <w:color w:val="auto"/>
          <w:sz w:val="21"/>
          <w:szCs w:val="21"/>
          <w:highlight w:val="none"/>
          <w:lang w:val="en-US" w:eastAsia="zh-CN"/>
        </w:rPr>
        <w:t>建设地点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安徽省合肥市</w:t>
      </w:r>
      <w:r>
        <w:rPr>
          <w:rFonts w:hint="eastAsia" w:ascii="宋体" w:hAnsi="宋体" w:eastAsia="宋体" w:cs="宋体"/>
          <w:color w:val="auto"/>
          <w:kern w:val="0"/>
          <w:sz w:val="21"/>
          <w:szCs w:val="21"/>
          <w:highlight w:val="none"/>
          <w:u w:val="none"/>
          <w:lang w:eastAsia="zh-CN"/>
        </w:rPr>
        <w:t>。</w:t>
      </w:r>
    </w:p>
    <w:p>
      <w:pPr>
        <w:pStyle w:val="6"/>
        <w:snapToGrid w:val="0"/>
        <w:spacing w:before="120" w:after="120" w:line="240" w:lineRule="auto"/>
        <w:ind w:firstLine="403"/>
        <w:rPr>
          <w:rFonts w:ascii="Times New Roman" w:hAnsi="Times New Roman" w:eastAsia="黑体" w:cs="Times New Roman"/>
          <w:b w:val="0"/>
          <w:sz w:val="22"/>
          <w:szCs w:val="15"/>
        </w:rPr>
      </w:pPr>
      <w:bookmarkStart w:id="8" w:name="_Toc10274"/>
      <w:bookmarkStart w:id="9" w:name="_Toc18453"/>
      <w:bookmarkStart w:id="10" w:name="_Toc23266_WPSOffice_Level2"/>
      <w:bookmarkStart w:id="11" w:name="_Toc17858_WPSOffice_Level2"/>
      <w:bookmarkStart w:id="12" w:name="_Toc18367_WPSOffice_Level2"/>
      <w:bookmarkStart w:id="13" w:name="_Toc525632586"/>
      <w:bookmarkStart w:id="14" w:name="_Toc8128_WPSOffice_Level2"/>
      <w:r>
        <w:rPr>
          <w:rFonts w:ascii="Times New Roman" w:hAnsi="Times New Roman" w:eastAsia="黑体" w:cs="Times New Roman"/>
          <w:b w:val="0"/>
          <w:sz w:val="22"/>
          <w:szCs w:val="15"/>
        </w:rPr>
        <w:t>采购说明</w:t>
      </w:r>
      <w:bookmarkEnd w:id="8"/>
      <w:bookmarkEnd w:id="9"/>
      <w:bookmarkEnd w:id="10"/>
      <w:bookmarkEnd w:id="11"/>
      <w:bookmarkEnd w:id="12"/>
      <w:bookmarkEnd w:id="13"/>
      <w:bookmarkEnd w:id="14"/>
    </w:p>
    <w:p>
      <w:pPr>
        <w:snapToGrid w:val="0"/>
        <w:spacing w:line="440" w:lineRule="exact"/>
        <w:ind w:firstLine="420" w:firstLineChars="200"/>
        <w:rPr>
          <w:rFonts w:hint="default" w:ascii="宋体" w:hAnsi="宋体" w:eastAsia="宋体" w:cs="宋体"/>
          <w:szCs w:val="21"/>
          <w:u w:val="single"/>
          <w:lang w:val="en-US" w:eastAsia="zh-CN"/>
        </w:rPr>
      </w:pPr>
      <w:bookmarkStart w:id="15" w:name="_Toc4489_WPSOffice_Level3"/>
      <w:r>
        <w:rPr>
          <w:rFonts w:hint="eastAsia" w:ascii="宋体" w:hAnsi="宋体" w:eastAsia="宋体" w:cs="宋体"/>
          <w:szCs w:val="21"/>
        </w:rPr>
        <w:t>2.1 采购方式：</w:t>
      </w:r>
      <w:bookmarkEnd w:id="15"/>
      <w:r>
        <w:rPr>
          <w:rFonts w:hint="eastAsia" w:ascii="宋体" w:hAnsi="宋体" w:eastAsia="宋体" w:cs="宋体"/>
          <w:szCs w:val="21"/>
          <w:u w:val="single"/>
          <w:lang w:val="en-US" w:eastAsia="zh-CN"/>
        </w:rPr>
        <w:t>询比采购</w:t>
      </w:r>
    </w:p>
    <w:p>
      <w:pPr>
        <w:snapToGrid w:val="0"/>
        <w:spacing w:line="440" w:lineRule="exact"/>
        <w:ind w:firstLine="420" w:firstLineChars="200"/>
        <w:rPr>
          <w:rFonts w:hint="eastAsia" w:ascii="宋体" w:hAnsi="宋体" w:eastAsia="宋体" w:cs="宋体"/>
          <w:szCs w:val="21"/>
        </w:rPr>
      </w:pPr>
      <w:bookmarkStart w:id="16" w:name="_Toc23266_WPSOffice_Level3"/>
      <w:r>
        <w:rPr>
          <w:rFonts w:hint="eastAsia" w:ascii="宋体" w:hAnsi="宋体" w:eastAsia="宋体" w:cs="宋体"/>
          <w:szCs w:val="21"/>
        </w:rPr>
        <w:t>2.2 资金来源及比例：</w:t>
      </w:r>
      <w:bookmarkEnd w:id="16"/>
      <w:bookmarkStart w:id="17" w:name="_Toc22379_WPSOffice_Level3"/>
      <w:r>
        <w:rPr>
          <w:rFonts w:hint="eastAsia" w:ascii="宋体" w:hAnsi="宋体" w:eastAsia="宋体" w:cs="宋体"/>
          <w:szCs w:val="21"/>
        </w:rPr>
        <w:t>100%来自企业自筹</w:t>
      </w:r>
    </w:p>
    <w:p>
      <w:pPr>
        <w:snapToGrid w:val="0"/>
        <w:spacing w:line="440" w:lineRule="exact"/>
        <w:ind w:firstLine="420" w:firstLineChars="200"/>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lang w:val="en-US" w:eastAsia="zh-CN"/>
        </w:rPr>
        <w:t>2.3 采购范围：</w:t>
      </w:r>
      <w:r>
        <w:rPr>
          <w:rFonts w:hint="eastAsia" w:ascii="宋体" w:hAnsi="宋体" w:eastAsia="宋体" w:cs="宋体"/>
          <w:color w:val="auto"/>
          <w:szCs w:val="21"/>
          <w:highlight w:val="none"/>
          <w:u w:val="single"/>
          <w:lang w:val="en-US" w:eastAsia="zh-CN"/>
        </w:rPr>
        <w:t>询比文件、模拟清单以及补充答疑文件全部内容。</w:t>
      </w:r>
    </w:p>
    <w:p>
      <w:pPr>
        <w:snapToGrid w:val="0"/>
        <w:spacing w:line="440" w:lineRule="exact"/>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2.4 合同包划分：</w:t>
      </w:r>
      <w:r>
        <w:rPr>
          <w:rFonts w:hint="eastAsia" w:ascii="宋体" w:hAnsi="宋体" w:eastAsia="宋体" w:cs="宋体"/>
          <w:color w:val="auto"/>
          <w:szCs w:val="21"/>
          <w:highlight w:val="none"/>
          <w:u w:val="single"/>
          <w:lang w:val="en-US" w:eastAsia="zh-CN"/>
        </w:rPr>
        <w:t>1个包</w:t>
      </w:r>
    </w:p>
    <w:p>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 xml:space="preserve"> 最高限价：</w:t>
      </w:r>
      <w:bookmarkEnd w:id="17"/>
      <w:r>
        <w:rPr>
          <w:rFonts w:hint="eastAsia" w:ascii="宋体" w:hAnsi="宋体" w:eastAsia="宋体" w:cs="宋体"/>
          <w:color w:val="auto"/>
          <w:szCs w:val="21"/>
          <w:highlight w:val="none"/>
          <w:u w:val="single"/>
        </w:rPr>
        <w:t>31.14</w:t>
      </w:r>
      <w:r>
        <w:rPr>
          <w:rFonts w:hint="eastAsia" w:ascii="宋体" w:hAnsi="宋体" w:eastAsia="宋体" w:cs="宋体"/>
          <w:color w:val="auto"/>
          <w:szCs w:val="21"/>
          <w:highlight w:val="none"/>
          <w:u w:val="single"/>
          <w:lang w:val="en-US" w:eastAsia="zh-CN"/>
        </w:rPr>
        <w:t>万元</w:t>
      </w:r>
    </w:p>
    <w:p>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计划工期</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20日历天，具体开工时间以实际签发开工令时间为准。</w:t>
      </w:r>
    </w:p>
    <w:p>
      <w:pPr>
        <w:pStyle w:val="6"/>
        <w:snapToGrid w:val="0"/>
        <w:spacing w:before="120" w:after="120" w:line="240" w:lineRule="auto"/>
        <w:ind w:firstLine="403"/>
        <w:rPr>
          <w:rFonts w:ascii="Times New Roman" w:hAnsi="Times New Roman" w:eastAsia="黑体" w:cs="Times New Roman"/>
          <w:b w:val="0"/>
          <w:sz w:val="22"/>
          <w:szCs w:val="15"/>
        </w:rPr>
      </w:pPr>
      <w:bookmarkStart w:id="18" w:name="_Toc1622_WPSOffice_Level2"/>
      <w:bookmarkStart w:id="19" w:name="_Toc22379_WPSOffice_Level2"/>
      <w:bookmarkStart w:id="20" w:name="_Toc525632587"/>
      <w:bookmarkStart w:id="21" w:name="_Toc3714"/>
      <w:bookmarkStart w:id="22" w:name="_Toc6388"/>
      <w:bookmarkStart w:id="23" w:name="_Toc31673_WPSOffice_Level2"/>
      <w:bookmarkStart w:id="24" w:name="_Toc29516_WPSOffice_Level2"/>
      <w:r>
        <w:rPr>
          <w:rFonts w:ascii="Times New Roman" w:hAnsi="Times New Roman" w:eastAsia="黑体" w:cs="Times New Roman"/>
          <w:b w:val="0"/>
          <w:sz w:val="22"/>
          <w:szCs w:val="15"/>
        </w:rPr>
        <w:t>供应商资格条件</w:t>
      </w:r>
      <w:bookmarkEnd w:id="18"/>
      <w:bookmarkEnd w:id="19"/>
      <w:bookmarkEnd w:id="20"/>
      <w:bookmarkEnd w:id="21"/>
      <w:bookmarkEnd w:id="22"/>
      <w:bookmarkEnd w:id="23"/>
      <w:bookmarkEnd w:id="24"/>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szCs w:val="22"/>
          <w:highlight w:val="none"/>
        </w:rPr>
      </w:pPr>
      <w:r>
        <w:rPr>
          <w:rFonts w:hint="eastAsia" w:ascii="宋体" w:hAnsi="宋体" w:eastAsia="宋体" w:cs="宋体"/>
          <w:szCs w:val="22"/>
          <w:highlight w:val="none"/>
        </w:rPr>
        <w:t>3.1 本次采购要求供应商须同时具备：</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szCs w:val="22"/>
          <w:highlight w:val="none"/>
        </w:rPr>
      </w:pPr>
      <w:r>
        <w:rPr>
          <w:rFonts w:hint="eastAsia" w:ascii="Times New Roman" w:hAnsi="Times New Roman" w:cs="Times New Roman"/>
          <w:szCs w:val="22"/>
          <w:highlight w:val="none"/>
          <w:lang w:val="en-US" w:eastAsia="zh-CN"/>
        </w:rPr>
        <w:t>（1）</w:t>
      </w:r>
      <w:r>
        <w:rPr>
          <w:rFonts w:hint="eastAsia" w:ascii="宋体" w:hAnsi="宋体" w:eastAsia="宋体" w:cs="宋体"/>
          <w:szCs w:val="22"/>
          <w:highlight w:val="none"/>
        </w:rPr>
        <w:t>资质最低要求：</w:t>
      </w:r>
    </w:p>
    <w:p>
      <w:pPr>
        <w:numPr>
          <w:ilvl w:val="0"/>
          <w:numId w:val="0"/>
        </w:numPr>
        <w:snapToGrid w:val="0"/>
        <w:spacing w:line="440" w:lineRule="exact"/>
        <w:ind w:firstLine="420" w:firstLineChars="200"/>
        <w:rPr>
          <w:rFonts w:hint="eastAsia" w:asciiTheme="minorHAnsi" w:hAnsiTheme="minorHAnsi" w:eastAsiaTheme="minorEastAsia" w:cstheme="minorBidi"/>
          <w:kern w:val="2"/>
          <w:sz w:val="21"/>
          <w:szCs w:val="24"/>
          <w:highlight w:val="none"/>
          <w:u w:val="single"/>
          <w:lang w:val="en-US" w:eastAsia="zh-CN" w:bidi="ar-SA"/>
        </w:rPr>
      </w:pPr>
      <w:r>
        <w:rPr>
          <w:rFonts w:hint="eastAsia" w:asciiTheme="minorHAnsi" w:hAnsiTheme="minorHAnsi" w:eastAsiaTheme="minorEastAsia" w:cstheme="minorBidi"/>
          <w:kern w:val="2"/>
          <w:sz w:val="21"/>
          <w:szCs w:val="24"/>
          <w:highlight w:val="none"/>
          <w:u w:val="single"/>
          <w:lang w:val="en-US" w:eastAsia="zh-CN" w:bidi="ar-SA"/>
        </w:rPr>
        <w:t>供应商须具备</w:t>
      </w:r>
      <w:r>
        <w:rPr>
          <w:rFonts w:hint="eastAsia" w:cstheme="minorBidi"/>
          <w:kern w:val="2"/>
          <w:sz w:val="21"/>
          <w:szCs w:val="24"/>
          <w:highlight w:val="none"/>
          <w:u w:val="single"/>
          <w:lang w:val="en-US" w:eastAsia="zh-CN" w:bidi="ar-SA"/>
        </w:rPr>
        <w:t>环保</w:t>
      </w:r>
      <w:r>
        <w:rPr>
          <w:rFonts w:hint="eastAsia" w:asciiTheme="minorHAnsi" w:hAnsiTheme="minorHAnsi" w:eastAsiaTheme="minorEastAsia" w:cstheme="minorBidi"/>
          <w:kern w:val="2"/>
          <w:sz w:val="21"/>
          <w:szCs w:val="24"/>
          <w:highlight w:val="none"/>
          <w:u w:val="single"/>
          <w:lang w:val="en-US" w:eastAsia="zh-CN" w:bidi="ar-SA"/>
        </w:rPr>
        <w:t>工程</w:t>
      </w:r>
      <w:r>
        <w:rPr>
          <w:rFonts w:hint="eastAsia" w:cstheme="minorBidi"/>
          <w:kern w:val="2"/>
          <w:sz w:val="21"/>
          <w:szCs w:val="24"/>
          <w:highlight w:val="none"/>
          <w:u w:val="single"/>
          <w:lang w:val="en-US" w:eastAsia="zh-CN" w:bidi="ar-SA"/>
        </w:rPr>
        <w:t>专业</w:t>
      </w:r>
      <w:r>
        <w:rPr>
          <w:rFonts w:hint="eastAsia" w:asciiTheme="minorHAnsi" w:hAnsiTheme="minorHAnsi" w:eastAsiaTheme="minorEastAsia" w:cstheme="minorBidi"/>
          <w:kern w:val="2"/>
          <w:sz w:val="21"/>
          <w:szCs w:val="24"/>
          <w:highlight w:val="none"/>
          <w:u w:val="single"/>
          <w:lang w:val="en-US" w:eastAsia="zh-CN" w:bidi="ar-SA"/>
        </w:rPr>
        <w:t>承包三级及以上资质，具备独立法人资格，持有有效的营业执照，持有建设行政主管部门颁发的有效的安全生产许可证。</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highlight w:val="none"/>
          <w:u w:val="single"/>
          <w:lang w:val="en-US" w:eastAsia="zh-CN"/>
        </w:rPr>
      </w:pPr>
      <w:r>
        <w:rPr>
          <w:rFonts w:hint="eastAsia" w:ascii="Times New Roman" w:hAnsi="Times New Roman" w:cs="Times New Roman"/>
          <w:szCs w:val="22"/>
          <w:highlight w:val="none"/>
          <w:lang w:eastAsia="zh-CN"/>
        </w:rPr>
        <w:t>（</w:t>
      </w:r>
      <w:r>
        <w:rPr>
          <w:rFonts w:hint="eastAsia" w:ascii="Times New Roman" w:hAnsi="Times New Roman" w:cs="Times New Roman"/>
          <w:szCs w:val="22"/>
          <w:highlight w:val="none"/>
          <w:lang w:val="en-US" w:eastAsia="zh-CN"/>
        </w:rPr>
        <w:t>2</w:t>
      </w:r>
      <w:r>
        <w:rPr>
          <w:rFonts w:hint="eastAsia" w:ascii="Times New Roman" w:hAnsi="Times New Roman" w:cs="Times New Roman"/>
          <w:szCs w:val="22"/>
          <w:highlight w:val="none"/>
          <w:lang w:eastAsia="zh-CN"/>
        </w:rPr>
        <w:t>）</w:t>
      </w:r>
      <w:r>
        <w:rPr>
          <w:rFonts w:hint="eastAsia" w:ascii="Times New Roman" w:hAnsi="Times New Roman" w:cs="Times New Roman"/>
          <w:szCs w:val="22"/>
          <w:highlight w:val="none"/>
        </w:rPr>
        <w:t>业绩最低要求：</w:t>
      </w:r>
      <w:r>
        <w:rPr>
          <w:rFonts w:hint="eastAsia" w:ascii="Times New Roman" w:hAnsi="Times New Roman" w:cs="Times New Roman"/>
          <w:szCs w:val="22"/>
          <w:highlight w:val="none"/>
          <w:u w:val="single"/>
          <w:lang w:val="en-US" w:eastAsia="zh-CN"/>
        </w:rPr>
        <w:t>/</w:t>
      </w:r>
      <w:r>
        <w:rPr>
          <w:rFonts w:hint="eastAsia" w:ascii="宋体" w:hAnsi="宋体" w:eastAsia="宋体" w:cs="宋体"/>
          <w:highlight w:val="none"/>
          <w:u w:val="single"/>
          <w:lang w:val="en-US" w:eastAsia="zh-CN"/>
        </w:rPr>
        <w:t>。</w:t>
      </w:r>
    </w:p>
    <w:p>
      <w:pPr>
        <w:numPr>
          <w:ilvl w:val="255"/>
          <w:numId w:val="0"/>
        </w:numPr>
        <w:snapToGrid w:val="0"/>
        <w:spacing w:line="440" w:lineRule="exact"/>
        <w:ind w:firstLine="420" w:firstLineChars="200"/>
        <w:rPr>
          <w:rFonts w:hint="eastAsia" w:asciiTheme="minorEastAsia" w:hAnsiTheme="minorEastAsia" w:eastAsiaTheme="minorEastAsia" w:cstheme="minorEastAsia"/>
          <w:szCs w:val="22"/>
          <w:lang w:eastAsia="zh-CN"/>
        </w:rPr>
      </w:pPr>
      <w:r>
        <w:rPr>
          <w:rFonts w:hint="eastAsia" w:asciiTheme="minorEastAsia" w:hAnsiTheme="minorEastAsia" w:eastAsiaTheme="minorEastAsia" w:cstheme="minorEastAsia"/>
          <w:szCs w:val="22"/>
          <w:lang w:eastAsia="zh-CN"/>
        </w:rPr>
        <w:t>（</w:t>
      </w:r>
      <w:r>
        <w:rPr>
          <w:rFonts w:hint="eastAsia" w:asciiTheme="minorEastAsia" w:hAnsiTheme="minorEastAsia" w:eastAsiaTheme="minorEastAsia" w:cstheme="minorEastAsia"/>
          <w:szCs w:val="22"/>
          <w:lang w:val="en-US" w:eastAsia="zh-CN"/>
        </w:rPr>
        <w:t>3</w:t>
      </w:r>
      <w:r>
        <w:rPr>
          <w:rFonts w:hint="eastAsia" w:asciiTheme="minorEastAsia" w:hAnsiTheme="minorEastAsia" w:eastAsiaTheme="minorEastAsia" w:cstheme="minorEastAsia"/>
          <w:szCs w:val="22"/>
          <w:lang w:eastAsia="zh-CN"/>
        </w:rPr>
        <w:t>）项目管理机构主要人员最低要求：</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Times New Roman" w:hAnsi="Times New Roman" w:cs="Times New Roman"/>
          <w:szCs w:val="22"/>
          <w:highlight w:val="none"/>
          <w:lang w:eastAsia="zh-CN"/>
        </w:rPr>
      </w:pPr>
      <w:r>
        <w:rPr>
          <w:rFonts w:hint="eastAsia" w:ascii="Times New Roman" w:hAnsi="Times New Roman" w:cs="Times New Roman"/>
          <w:szCs w:val="22"/>
          <w:highlight w:val="none"/>
          <w:lang w:eastAsia="zh-CN"/>
        </w:rPr>
        <w:t>①项目施工负责人：</w:t>
      </w:r>
      <w:r>
        <w:rPr>
          <w:rFonts w:hint="eastAsia" w:ascii="Times New Roman" w:hAnsi="Times New Roman" w:cs="Times New Roman"/>
          <w:szCs w:val="22"/>
          <w:highlight w:val="none"/>
          <w:u w:val="single"/>
          <w:lang w:val="en-US" w:eastAsia="zh-CN"/>
        </w:rPr>
        <w:t>具备相关专业二级及以上注册建造师执业资格、具备省级住房和城乡建设主管部门颁发的有效的安全生产考核合格证书B证。</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Times New Roman" w:hAnsi="Times New Roman" w:cs="Times New Roman"/>
          <w:szCs w:val="22"/>
          <w:highlight w:val="none"/>
          <w:lang w:eastAsia="zh-CN"/>
        </w:rPr>
      </w:pPr>
      <w:r>
        <w:rPr>
          <w:rFonts w:hint="eastAsia" w:ascii="Times New Roman" w:hAnsi="Times New Roman" w:cs="Times New Roman"/>
          <w:szCs w:val="22"/>
          <w:highlight w:val="none"/>
          <w:lang w:eastAsia="zh-CN"/>
        </w:rPr>
        <w:t>②技术负责人：</w:t>
      </w:r>
      <w:r>
        <w:rPr>
          <w:rFonts w:hint="eastAsia" w:ascii="Times New Roman" w:hAnsi="Times New Roman" w:cs="Times New Roman"/>
          <w:szCs w:val="22"/>
          <w:highlight w:val="none"/>
          <w:u w:val="single"/>
          <w:lang w:eastAsia="zh-CN"/>
        </w:rPr>
        <w:t>具有工程类相关专业中级及以上职称证书。</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default" w:ascii="Times New Roman" w:hAnsi="Times New Roman" w:cs="Times New Roman" w:eastAsiaTheme="minorEastAsia"/>
          <w:szCs w:val="22"/>
          <w:highlight w:val="none"/>
          <w:lang w:val="en-US" w:eastAsia="zh-CN"/>
        </w:rPr>
      </w:pPr>
      <w:r>
        <w:rPr>
          <w:rFonts w:hint="eastAsia" w:ascii="Times New Roman" w:hAnsi="Times New Roman" w:cs="Times New Roman"/>
          <w:szCs w:val="22"/>
          <w:highlight w:val="none"/>
        </w:rPr>
        <w:t>③</w:t>
      </w:r>
      <w:r>
        <w:rPr>
          <w:rFonts w:hint="eastAsia" w:ascii="Times New Roman" w:hAnsi="Times New Roman" w:cs="Times New Roman"/>
          <w:szCs w:val="22"/>
          <w:highlight w:val="none"/>
          <w:lang w:val="en-US" w:eastAsia="zh-CN"/>
        </w:rPr>
        <w:t>安全员：</w:t>
      </w:r>
      <w:r>
        <w:rPr>
          <w:rFonts w:hint="eastAsia" w:ascii="Times New Roman" w:hAnsi="Times New Roman" w:cs="Times New Roman"/>
          <w:szCs w:val="22"/>
          <w:highlight w:val="none"/>
          <w:u w:val="single"/>
          <w:lang w:val="en-US" w:eastAsia="zh-CN"/>
        </w:rPr>
        <w:t>配备专职安全员。</w:t>
      </w:r>
    </w:p>
    <w:p>
      <w:pPr>
        <w:numPr>
          <w:ilvl w:val="255"/>
          <w:numId w:val="0"/>
        </w:numPr>
        <w:snapToGrid w:val="0"/>
        <w:spacing w:line="440" w:lineRule="exact"/>
        <w:ind w:firstLine="420" w:firstLineChars="200"/>
        <w:rPr>
          <w:rFonts w:hint="eastAsia" w:ascii="Times New Roman" w:hAnsi="Times New Roman" w:cs="Times New Roman" w:eastAsiaTheme="minorEastAsia"/>
          <w:szCs w:val="22"/>
          <w:highlight w:val="none"/>
          <w:lang w:eastAsia="zh-CN"/>
        </w:rPr>
      </w:pPr>
      <w:r>
        <w:rPr>
          <w:rFonts w:hint="eastAsia" w:asciiTheme="minorEastAsia" w:hAnsiTheme="minorEastAsia" w:eastAsiaTheme="minorEastAsia" w:cstheme="minorEastAsia"/>
          <w:szCs w:val="22"/>
          <w:highlight w:val="none"/>
        </w:rPr>
        <w:t>（4）</w:t>
      </w:r>
      <w:r>
        <w:rPr>
          <w:rFonts w:ascii="Times New Roman" w:hAnsi="Times New Roman" w:cs="Times New Roman"/>
          <w:szCs w:val="22"/>
          <w:highlight w:val="none"/>
        </w:rPr>
        <w:t>信誉要求最低要求：</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Times New Roman" w:hAnsi="Times New Roman" w:cs="Times New Roman"/>
          <w:szCs w:val="22"/>
        </w:rPr>
      </w:pPr>
      <w:r>
        <w:rPr>
          <w:rFonts w:ascii="Times New Roman" w:hAnsi="Times New Roman" w:cs="Times New Roman"/>
          <w:szCs w:val="22"/>
          <w:highlight w:val="none"/>
        </w:rPr>
        <w:t>①</w:t>
      </w:r>
      <w:r>
        <w:rPr>
          <w:rFonts w:hint="eastAsia" w:ascii="Times New Roman" w:hAnsi="Times New Roman" w:cs="Times New Roman"/>
          <w:szCs w:val="22"/>
          <w:highlight w:val="none"/>
        </w:rPr>
        <w:t>未被责令停业，暂扣或吊销执照，或吊销资质证</w:t>
      </w:r>
      <w:r>
        <w:rPr>
          <w:rFonts w:hint="eastAsia" w:ascii="Times New Roman" w:hAnsi="Times New Roman" w:cs="Times New Roman"/>
          <w:szCs w:val="22"/>
        </w:rPr>
        <w:t>书；</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pPr>
      <w:r>
        <w:rPr>
          <w:rFonts w:hint="eastAsia" w:ascii="Times New Roman" w:hAnsi="Times New Roman" w:cs="Times New Roman"/>
          <w:szCs w:val="22"/>
        </w:rPr>
        <w:t>②未进入清算程序，或被宣告破产，或其他丧失履约能力的情形；</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Times New Roman" w:hAnsi="Times New Roman" w:cs="Times New Roman"/>
          <w:szCs w:val="22"/>
        </w:rPr>
      </w:pPr>
      <w:r>
        <w:rPr>
          <w:rFonts w:hint="eastAsia" w:ascii="Times New Roman" w:hAnsi="Times New Roman" w:cs="Times New Roman"/>
          <w:szCs w:val="22"/>
        </w:rPr>
        <w:t>③</w:t>
      </w:r>
      <w:r>
        <w:rPr>
          <w:rFonts w:ascii="Times New Roman" w:hAnsi="Times New Roman" w:cs="Times New Roman"/>
          <w:szCs w:val="22"/>
        </w:rPr>
        <w:t>在国家企业信用信息公示系统（http://www.gsxt.gov.cn）中</w:t>
      </w:r>
      <w:r>
        <w:rPr>
          <w:rFonts w:hint="eastAsia" w:ascii="Times New Roman" w:hAnsi="Times New Roman" w:cs="Times New Roman"/>
          <w:szCs w:val="22"/>
        </w:rPr>
        <w:t>未</w:t>
      </w:r>
      <w:r>
        <w:rPr>
          <w:rFonts w:ascii="Times New Roman" w:hAnsi="Times New Roman" w:cs="Times New Roman"/>
          <w:szCs w:val="22"/>
        </w:rPr>
        <w:t>被列入严重违法失信企业名单；</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Times New Roman" w:hAnsi="Times New Roman" w:cs="Times New Roman"/>
          <w:szCs w:val="22"/>
        </w:rPr>
      </w:pPr>
      <w:r>
        <w:rPr>
          <w:rFonts w:hint="eastAsia" w:ascii="Times New Roman" w:hAnsi="Times New Roman" w:cs="Times New Roman"/>
          <w:szCs w:val="22"/>
        </w:rPr>
        <w:t>④</w:t>
      </w:r>
      <w:r>
        <w:rPr>
          <w:rFonts w:ascii="Times New Roman" w:hAnsi="Times New Roman" w:cs="Times New Roman"/>
          <w:szCs w:val="22"/>
        </w:rPr>
        <w:t>在“信用中国”网站（http://www.creditchina.gov.cn）中</w:t>
      </w:r>
      <w:r>
        <w:rPr>
          <w:rFonts w:hint="eastAsia" w:ascii="Times New Roman" w:hAnsi="Times New Roman" w:cs="Times New Roman"/>
          <w:szCs w:val="22"/>
        </w:rPr>
        <w:t>未</w:t>
      </w:r>
      <w:r>
        <w:rPr>
          <w:rFonts w:ascii="Times New Roman" w:hAnsi="Times New Roman" w:cs="Times New Roman"/>
          <w:szCs w:val="22"/>
        </w:rPr>
        <w:t>被列入失信被执行人名单；</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Times New Roman" w:hAnsi="Times New Roman" w:cs="Times New Roman" w:eastAsiaTheme="minorEastAsia"/>
          <w:szCs w:val="22"/>
          <w:lang w:eastAsia="zh-CN"/>
        </w:rPr>
      </w:pPr>
      <w:r>
        <w:rPr>
          <w:rFonts w:hint="eastAsia" w:ascii="Times New Roman" w:hAnsi="Times New Roman" w:cs="Times New Roman"/>
          <w:szCs w:val="22"/>
        </w:rPr>
        <w:t>⑤</w:t>
      </w:r>
      <w:r>
        <w:rPr>
          <w:rFonts w:ascii="Times New Roman" w:hAnsi="Times New Roman" w:cs="Times New Roman"/>
          <w:szCs w:val="22"/>
        </w:rPr>
        <w:t>在近三年内（自</w:t>
      </w:r>
      <w:r>
        <w:rPr>
          <w:rFonts w:hint="eastAsia" w:ascii="Times New Roman" w:hAnsi="Times New Roman" w:cs="Times New Roman"/>
          <w:szCs w:val="22"/>
        </w:rPr>
        <w:t>响应文件递交截止之日</w:t>
      </w:r>
      <w:r>
        <w:rPr>
          <w:rFonts w:ascii="Times New Roman" w:hAnsi="Times New Roman" w:cs="Times New Roman"/>
          <w:szCs w:val="22"/>
        </w:rPr>
        <w:t>向前追溯3年）供应商或其法定代表人、拟委任的项目经理</w:t>
      </w:r>
      <w:r>
        <w:rPr>
          <w:rFonts w:hint="eastAsia" w:ascii="Times New Roman" w:hAnsi="Times New Roman" w:cs="Times New Roman"/>
          <w:szCs w:val="22"/>
          <w:lang w:eastAsia="zh-CN"/>
        </w:rPr>
        <w:t>（</w:t>
      </w:r>
      <w:r>
        <w:rPr>
          <w:rFonts w:hint="eastAsia" w:ascii="Times New Roman" w:hAnsi="Times New Roman" w:cs="Times New Roman"/>
          <w:szCs w:val="22"/>
          <w:lang w:val="en-US" w:eastAsia="zh-CN"/>
        </w:rPr>
        <w:t>如有</w:t>
      </w:r>
      <w:r>
        <w:rPr>
          <w:rFonts w:hint="eastAsia" w:ascii="Times New Roman" w:hAnsi="Times New Roman" w:cs="Times New Roman"/>
          <w:szCs w:val="22"/>
          <w:lang w:eastAsia="zh-CN"/>
        </w:rPr>
        <w:t>）</w:t>
      </w:r>
      <w:r>
        <w:rPr>
          <w:rFonts w:hint="eastAsia" w:ascii="Times New Roman" w:hAnsi="Times New Roman" w:cs="Times New Roman"/>
          <w:szCs w:val="22"/>
        </w:rPr>
        <w:t>未</w:t>
      </w:r>
      <w:r>
        <w:rPr>
          <w:rFonts w:ascii="Times New Roman" w:hAnsi="Times New Roman" w:cs="Times New Roman"/>
          <w:szCs w:val="22"/>
        </w:rPr>
        <w:t>有行贿犯罪行为</w:t>
      </w:r>
      <w:r>
        <w:rPr>
          <w:rFonts w:hint="eastAsia" w:ascii="Times New Roman" w:hAnsi="Times New Roman" w:cs="Times New Roman"/>
          <w:szCs w:val="22"/>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Times New Roman" w:hAnsi="Times New Roman"/>
        </w:rPr>
      </w:pPr>
      <w:r>
        <w:rPr>
          <w:rFonts w:hint="eastAsia" w:ascii="Times New Roman" w:hAnsi="Times New Roman"/>
        </w:rPr>
        <w:t>⑥其他要求：</w:t>
      </w:r>
      <w:r>
        <w:rPr>
          <w:rFonts w:hint="eastAsia" w:ascii="Times New Roman" w:hAnsi="Times New Roman"/>
          <w:u w:val="single"/>
          <w:lang w:val="en-US" w:eastAsia="zh-CN"/>
        </w:rPr>
        <w:t>在近三年内（自响应文件递交截止之日向前追溯3年）供应商与采购人未发生诉讼关系</w:t>
      </w:r>
      <w:r>
        <w:rPr>
          <w:rFonts w:hint="eastAsia" w:ascii="Times New Roman" w:hAnsi="Times New Roman"/>
        </w:rPr>
        <w:t>。</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Times New Roman" w:hAnsi="Times New Roman" w:cs="Times New Roman"/>
          <w:sz w:val="18"/>
          <w:szCs w:val="21"/>
        </w:rPr>
      </w:pPr>
      <w:r>
        <w:rPr>
          <w:rFonts w:ascii="Times New Roman" w:hAnsi="Times New Roman" w:cs="Times New Roman"/>
          <w:szCs w:val="22"/>
        </w:rPr>
        <w:t>3.2 联合体：本次采购</w:t>
      </w:r>
      <w:r>
        <w:rPr>
          <w:rFonts w:hint="eastAsia" w:ascii="Times New Roman" w:hAnsi="Times New Roman" w:cs="Times New Roman"/>
          <w:szCs w:val="22"/>
        </w:rPr>
        <w:t>不接受</w:t>
      </w:r>
      <w:r>
        <w:rPr>
          <w:rFonts w:ascii="Times New Roman" w:hAnsi="Times New Roman" w:cs="Times New Roman"/>
          <w:szCs w:val="22"/>
        </w:rPr>
        <w:t>联合体报价。</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Times New Roman" w:hAnsi="Times New Roman" w:cs="Times New Roman"/>
          <w:sz w:val="18"/>
          <w:szCs w:val="21"/>
        </w:rPr>
      </w:pPr>
      <w:r>
        <w:rPr>
          <w:rFonts w:ascii="Times New Roman" w:hAnsi="Times New Roman" w:cs="Times New Roman"/>
          <w:szCs w:val="22"/>
        </w:rPr>
        <w:t>3.3 单位负责人为同一人或者存在控股、管理关系的不同单位，不得同时参加同一合同包报价，否则相关响应文件均无效。</w:t>
      </w:r>
    </w:p>
    <w:p>
      <w:pPr>
        <w:pStyle w:val="6"/>
        <w:snapToGrid w:val="0"/>
        <w:spacing w:before="120" w:after="120" w:line="240" w:lineRule="auto"/>
        <w:ind w:firstLine="403"/>
        <w:rPr>
          <w:rFonts w:ascii="Times New Roman" w:hAnsi="Times New Roman" w:eastAsia="黑体" w:cs="Times New Roman"/>
          <w:b w:val="0"/>
          <w:color w:val="auto"/>
          <w:sz w:val="22"/>
          <w:szCs w:val="15"/>
          <w:highlight w:val="none"/>
        </w:rPr>
      </w:pPr>
      <w:bookmarkStart w:id="25" w:name="_Toc25666_WPSOffice_Level2"/>
      <w:bookmarkStart w:id="26" w:name="_Toc29452_WPSOffice_Level2"/>
      <w:bookmarkStart w:id="27" w:name="_Toc2996_WPSOffice_Level2"/>
      <w:bookmarkStart w:id="28" w:name="_Toc4751"/>
      <w:bookmarkStart w:id="29" w:name="_Toc4109_WPSOffice_Level2"/>
      <w:bookmarkStart w:id="30" w:name="_Toc525632588"/>
      <w:bookmarkStart w:id="31" w:name="_Toc1994"/>
      <w:r>
        <w:rPr>
          <w:rFonts w:hint="eastAsia" w:ascii="Times New Roman" w:hAnsi="Times New Roman" w:eastAsia="黑体" w:cs="Times New Roman"/>
          <w:b w:val="0"/>
          <w:sz w:val="22"/>
          <w:szCs w:val="15"/>
        </w:rPr>
        <w:t>询比文件</w:t>
      </w:r>
      <w:r>
        <w:rPr>
          <w:rFonts w:ascii="Times New Roman" w:hAnsi="Times New Roman" w:eastAsia="黑体" w:cs="Times New Roman"/>
          <w:b w:val="0"/>
          <w:color w:val="auto"/>
          <w:sz w:val="22"/>
          <w:szCs w:val="15"/>
          <w:highlight w:val="none"/>
        </w:rPr>
        <w:t>的获取</w:t>
      </w:r>
      <w:bookmarkEnd w:id="25"/>
      <w:bookmarkEnd w:id="26"/>
      <w:bookmarkEnd w:id="27"/>
      <w:bookmarkEnd w:id="28"/>
      <w:bookmarkEnd w:id="29"/>
      <w:bookmarkEnd w:id="30"/>
      <w:bookmarkEnd w:id="31"/>
    </w:p>
    <w:p>
      <w:pPr>
        <w:pStyle w:val="18"/>
        <w:keepNext w:val="0"/>
        <w:keepLines w:val="0"/>
        <w:pageBreakBefore w:val="0"/>
        <w:kinsoku/>
        <w:wordWrap/>
        <w:overflowPunct/>
        <w:topLinePunct w:val="0"/>
        <w:autoSpaceDE/>
        <w:autoSpaceDN/>
        <w:bidi w:val="0"/>
        <w:adjustRightInd/>
        <w:spacing w:before="0" w:beforeAutospacing="0" w:after="0" w:afterAutospacing="0" w:line="440" w:lineRule="exact"/>
        <w:ind w:firstLine="420" w:firstLineChars="200"/>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供应商应在递交响应文件的截止时间前查询公告，自行下载询比文件及相关资料（含澄清、补遗及相关补充文件）。未按规定下载询比文件的，后续将不予接受其响应文件。</w:t>
      </w:r>
    </w:p>
    <w:p>
      <w:pPr>
        <w:pStyle w:val="6"/>
        <w:snapToGrid w:val="0"/>
        <w:spacing w:before="120" w:after="120" w:line="240" w:lineRule="auto"/>
        <w:ind w:firstLine="403"/>
        <w:rPr>
          <w:rFonts w:hint="eastAsia" w:ascii="Times New Roman" w:hAnsi="Times New Roman" w:eastAsia="黑体" w:cs="Times New Roman"/>
          <w:b w:val="0"/>
          <w:color w:val="auto"/>
          <w:sz w:val="22"/>
          <w:szCs w:val="15"/>
          <w:highlight w:val="none"/>
        </w:rPr>
      </w:pPr>
      <w:bookmarkStart w:id="32" w:name="_Toc525632589"/>
      <w:bookmarkStart w:id="33" w:name="_Toc726"/>
      <w:r>
        <w:rPr>
          <w:rFonts w:hint="eastAsia" w:ascii="Times New Roman" w:hAnsi="Times New Roman" w:eastAsia="黑体" w:cs="Times New Roman"/>
          <w:b w:val="0"/>
          <w:color w:val="auto"/>
          <w:sz w:val="22"/>
          <w:szCs w:val="15"/>
          <w:highlight w:val="none"/>
        </w:rPr>
        <w:t>响应文件的递交</w:t>
      </w:r>
      <w:bookmarkEnd w:id="32"/>
      <w:bookmarkEnd w:id="33"/>
    </w:p>
    <w:p>
      <w:pPr>
        <w:pStyle w:val="18"/>
        <w:keepNext w:val="0"/>
        <w:keepLines w:val="0"/>
        <w:pageBreakBefore w:val="0"/>
        <w:kinsoku/>
        <w:wordWrap/>
        <w:overflowPunct/>
        <w:topLinePunct w:val="0"/>
        <w:autoSpaceDE/>
        <w:autoSpaceDN/>
        <w:bidi w:val="0"/>
        <w:adjustRightInd/>
        <w:spacing w:before="0" w:beforeAutospacing="0" w:after="0" w:afterAutospacing="0" w:line="440" w:lineRule="exact"/>
        <w:ind w:firstLine="420" w:firstLineChars="200"/>
        <w:jc w:val="both"/>
        <w:textAlignment w:val="auto"/>
        <w:rPr>
          <w:rFonts w:hint="eastAsia" w:ascii="Times New Roman" w:hAnsi="Times New Roman" w:cs="Times New Roman" w:eastAsiaTheme="minorEastAsia"/>
          <w:color w:val="auto"/>
          <w:kern w:val="2"/>
          <w:sz w:val="21"/>
          <w:szCs w:val="22"/>
          <w:highlight w:val="none"/>
          <w:u w:val="none"/>
          <w:lang w:val="en-US" w:eastAsia="zh-CN"/>
        </w:rPr>
      </w:pPr>
      <w:bookmarkStart w:id="34" w:name="_Toc22719"/>
      <w:bookmarkStart w:id="35" w:name="_Toc525632591"/>
      <w:r>
        <w:rPr>
          <w:rFonts w:hint="eastAsia" w:asciiTheme="minorEastAsia" w:hAnsiTheme="minorEastAsia" w:eastAsiaTheme="minorEastAsia" w:cstheme="minorEastAsia"/>
          <w:color w:val="auto"/>
          <w:sz w:val="21"/>
          <w:szCs w:val="21"/>
          <w:highlight w:val="none"/>
        </w:rPr>
        <w:t>响应文件递交的截止时间</w:t>
      </w:r>
      <w:r>
        <w:rPr>
          <w:rFonts w:hint="eastAsia" w:asciiTheme="minorEastAsia" w:hAnsiTheme="minorEastAsia" w:eastAsiaTheme="minorEastAsia" w:cstheme="minorEastAsia"/>
          <w:color w:val="auto"/>
          <w:sz w:val="21"/>
          <w:szCs w:val="21"/>
          <w:highlight w:val="none"/>
          <w:lang w:val="en-US" w:eastAsia="zh-CN"/>
        </w:rPr>
        <w:t>为</w:t>
      </w:r>
      <w:r>
        <w:rPr>
          <w:rFonts w:hint="eastAsia" w:asciiTheme="minorEastAsia" w:hAnsiTheme="minorEastAsia" w:eastAsiaTheme="minorEastAsia" w:cstheme="minorEastAsia"/>
          <w:b w:val="0"/>
          <w:bCs w:val="0"/>
          <w:color w:val="auto"/>
          <w:sz w:val="21"/>
          <w:szCs w:val="21"/>
          <w:highlight w:val="none"/>
          <w:u w:val="single"/>
          <w:lang w:val="en-US" w:eastAsia="zh-CN"/>
        </w:rPr>
        <w:t>2024年7月2日14时30分</w:t>
      </w:r>
      <w:r>
        <w:rPr>
          <w:rFonts w:hint="eastAsia" w:asciiTheme="minorEastAsia" w:hAnsiTheme="minorEastAsia" w:eastAsiaTheme="minorEastAsia" w:cstheme="minorEastAsia"/>
          <w:color w:val="auto"/>
          <w:sz w:val="21"/>
          <w:szCs w:val="21"/>
          <w:highlight w:val="none"/>
        </w:rPr>
        <w:t>，供应商的法定代表人或其授权代理人应在文件递交截止时间前</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将响应文件递交</w:t>
      </w:r>
      <w:r>
        <w:rPr>
          <w:rFonts w:hint="eastAsia" w:asciiTheme="minorEastAsia" w:hAnsiTheme="minorEastAsia" w:eastAsiaTheme="minorEastAsia" w:cstheme="minorEastAsia"/>
          <w:color w:val="auto"/>
          <w:sz w:val="21"/>
          <w:szCs w:val="21"/>
          <w:highlight w:val="none"/>
          <w:u w:val="none"/>
          <w:lang w:val="en-US" w:eastAsia="zh-CN"/>
        </w:rPr>
        <w:t>至</w:t>
      </w:r>
      <w:r>
        <w:rPr>
          <w:rFonts w:hint="eastAsia" w:asciiTheme="minorEastAsia" w:hAnsiTheme="minorEastAsia" w:eastAsiaTheme="minorEastAsia" w:cstheme="minorEastAsia"/>
          <w:color w:val="auto"/>
          <w:kern w:val="2"/>
          <w:sz w:val="21"/>
          <w:szCs w:val="21"/>
          <w:highlight w:val="none"/>
          <w:u w:val="single"/>
        </w:rPr>
        <w:t>安徽省DXL改造提升工程项目部（合肥市蜀山区金寨路311号）</w:t>
      </w:r>
      <w:r>
        <w:rPr>
          <w:rFonts w:hint="eastAsia" w:asciiTheme="minorEastAsia" w:hAnsiTheme="minorEastAsia" w:eastAsiaTheme="minorEastAsia" w:cstheme="minorEastAsia"/>
          <w:color w:val="auto"/>
          <w:kern w:val="2"/>
          <w:sz w:val="21"/>
          <w:szCs w:val="21"/>
          <w:highlight w:val="none"/>
          <w:lang w:eastAsia="zh-CN"/>
        </w:rPr>
        <w:t>。</w:t>
      </w:r>
    </w:p>
    <w:p>
      <w:pPr>
        <w:pStyle w:val="6"/>
        <w:snapToGrid w:val="0"/>
        <w:spacing w:before="120" w:after="120" w:line="240" w:lineRule="auto"/>
        <w:ind w:firstLine="403"/>
        <w:rPr>
          <w:rFonts w:hint="eastAsia" w:ascii="Times New Roman" w:hAnsi="Times New Roman" w:eastAsia="黑体" w:cs="Times New Roman"/>
          <w:b w:val="0"/>
          <w:color w:val="auto"/>
          <w:sz w:val="22"/>
          <w:szCs w:val="15"/>
          <w:highlight w:val="none"/>
        </w:rPr>
      </w:pPr>
      <w:r>
        <w:rPr>
          <w:rFonts w:hint="eastAsia" w:ascii="Times New Roman" w:hAnsi="Times New Roman" w:eastAsia="黑体" w:cs="Times New Roman"/>
          <w:b w:val="0"/>
          <w:color w:val="auto"/>
          <w:sz w:val="22"/>
          <w:szCs w:val="15"/>
          <w:highlight w:val="none"/>
        </w:rPr>
        <w:t>响应文件启封</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cs="Times New Roman"/>
          <w:b/>
          <w:bCs/>
          <w:szCs w:val="22"/>
          <w:highlight w:val="none"/>
          <w:lang w:val="en-US" w:eastAsia="zh-CN"/>
        </w:rPr>
      </w:pPr>
      <w:r>
        <w:rPr>
          <w:rFonts w:ascii="Times New Roman" w:hAnsi="Times New Roman" w:cs="Times New Roman"/>
          <w:szCs w:val="22"/>
          <w:highlight w:val="none"/>
        </w:rPr>
        <w:t>响应文件的递交截止时间到后，采购人将于</w:t>
      </w:r>
      <w:r>
        <w:rPr>
          <w:rFonts w:hint="eastAsia" w:ascii="Times New Roman" w:hAnsi="Times New Roman" w:cs="Times New Roman"/>
          <w:szCs w:val="22"/>
          <w:highlight w:val="none"/>
          <w:u w:val="single"/>
        </w:rPr>
        <w:t>安徽省DXL改造提升工程项目部（合肥市蜀山区金寨路311号）</w:t>
      </w:r>
      <w:r>
        <w:rPr>
          <w:rFonts w:ascii="Times New Roman" w:hAnsi="Times New Roman" w:cs="Times New Roman"/>
          <w:szCs w:val="22"/>
          <w:highlight w:val="none"/>
          <w:u w:val="single"/>
        </w:rPr>
        <w:t>（地点）</w:t>
      </w:r>
      <w:r>
        <w:rPr>
          <w:rFonts w:hint="eastAsia" w:ascii="Times New Roman" w:hAnsi="Times New Roman" w:cs="Times New Roman"/>
          <w:szCs w:val="22"/>
          <w:highlight w:val="none"/>
        </w:rPr>
        <w:t>现场</w:t>
      </w:r>
      <w:r>
        <w:rPr>
          <w:rFonts w:ascii="Times New Roman" w:hAnsi="Times New Roman" w:cs="Times New Roman"/>
          <w:szCs w:val="22"/>
          <w:highlight w:val="none"/>
        </w:rPr>
        <w:t>组织进行响应文件的启</w:t>
      </w:r>
      <w:r>
        <w:rPr>
          <w:rFonts w:hint="eastAsia" w:ascii="Times New Roman" w:hAnsi="Times New Roman" w:cs="Times New Roman"/>
          <w:szCs w:val="22"/>
          <w:highlight w:val="none"/>
        </w:rPr>
        <w:t>封。</w:t>
      </w:r>
    </w:p>
    <w:p>
      <w:pPr>
        <w:pStyle w:val="6"/>
        <w:snapToGrid w:val="0"/>
        <w:spacing w:before="120" w:after="120" w:line="240" w:lineRule="auto"/>
        <w:ind w:firstLine="403"/>
        <w:rPr>
          <w:rFonts w:hint="eastAsia" w:ascii="Times New Roman" w:hAnsi="Times New Roman" w:eastAsia="黑体" w:cs="Times New Roman"/>
          <w:b w:val="0"/>
          <w:sz w:val="22"/>
          <w:szCs w:val="15"/>
          <w:highlight w:val="none"/>
        </w:rPr>
      </w:pPr>
      <w:r>
        <w:rPr>
          <w:rFonts w:hint="eastAsia" w:ascii="Times New Roman" w:hAnsi="Times New Roman" w:eastAsia="黑体" w:cs="Times New Roman"/>
          <w:b w:val="0"/>
          <w:sz w:val="22"/>
          <w:szCs w:val="15"/>
          <w:highlight w:val="none"/>
        </w:rPr>
        <w:t>响应保证金</w:t>
      </w:r>
    </w:p>
    <w:p>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响应保证金的金额：</w:t>
      </w:r>
      <w:r>
        <w:rPr>
          <w:rFonts w:hint="eastAsia" w:ascii="宋体" w:hAnsi="宋体" w:eastAsia="宋体" w:cs="宋体"/>
          <w:sz w:val="21"/>
          <w:szCs w:val="21"/>
          <w:u w:val="single"/>
          <w:lang w:val="en-US" w:eastAsia="zh-CN"/>
        </w:rPr>
        <w:t>本项目不收取</w:t>
      </w:r>
      <w:r>
        <w:rPr>
          <w:rFonts w:hint="eastAsia" w:ascii="宋体" w:hAnsi="宋体" w:eastAsia="宋体" w:cs="宋体"/>
          <w:sz w:val="21"/>
          <w:szCs w:val="21"/>
          <w:u w:val="none"/>
          <w:lang w:val="en-US" w:eastAsia="zh-CN"/>
        </w:rPr>
        <w:t>。</w:t>
      </w:r>
    </w:p>
    <w:p>
      <w:pPr>
        <w:pStyle w:val="6"/>
        <w:snapToGrid w:val="0"/>
        <w:spacing w:before="120" w:after="120" w:line="240" w:lineRule="auto"/>
        <w:ind w:firstLine="403"/>
        <w:rPr>
          <w:rFonts w:hint="eastAsia" w:ascii="Times New Roman" w:hAnsi="Times New Roman" w:eastAsia="黑体" w:cs="Times New Roman"/>
          <w:b w:val="0"/>
          <w:sz w:val="22"/>
          <w:szCs w:val="15"/>
          <w:highlight w:val="none"/>
        </w:rPr>
      </w:pPr>
      <w:r>
        <w:rPr>
          <w:rFonts w:hint="eastAsia" w:ascii="Times New Roman" w:hAnsi="Times New Roman" w:eastAsia="黑体" w:cs="Times New Roman"/>
          <w:b w:val="0"/>
          <w:sz w:val="22"/>
          <w:szCs w:val="15"/>
          <w:highlight w:val="none"/>
        </w:rPr>
        <w:t>发布公告的媒介</w:t>
      </w:r>
      <w:bookmarkEnd w:id="34"/>
      <w:bookmarkEnd w:id="35"/>
    </w:p>
    <w:p>
      <w:pPr>
        <w:pStyle w:val="1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本次采购公告在安徽交控建设工程集团</w:t>
      </w:r>
      <w:r>
        <w:rPr>
          <w:rFonts w:hint="default" w:ascii="Times New Roman" w:hAnsi="Times New Roman" w:cs="Times New Roman"/>
          <w:kern w:val="2"/>
          <w:sz w:val="21"/>
          <w:szCs w:val="21"/>
          <w:highlight w:val="none"/>
          <w:lang w:val="en-US" w:eastAsia="zh-CN" w:bidi="ar-SA"/>
        </w:rPr>
        <w:t>有限公司</w:t>
      </w:r>
      <w:r>
        <w:rPr>
          <w:rFonts w:hint="default" w:ascii="Times New Roman" w:hAnsi="Times New Roman" w:eastAsia="宋体" w:cs="Times New Roman"/>
          <w:kern w:val="2"/>
          <w:sz w:val="21"/>
          <w:szCs w:val="21"/>
          <w:highlight w:val="none"/>
          <w:lang w:val="en-US" w:eastAsia="zh-CN" w:bidi="ar-SA"/>
        </w:rPr>
        <w:t>（网址：http://www.ahjggroup.com）、安徽省阳光采购服务平台（网址：http://ygcg.ahbc.com.cn）上发布。</w:t>
      </w:r>
    </w:p>
    <w:p>
      <w:pPr>
        <w:pStyle w:val="6"/>
        <w:snapToGrid w:val="0"/>
        <w:spacing w:before="120" w:after="120" w:line="240" w:lineRule="auto"/>
        <w:ind w:firstLine="403"/>
        <w:rPr>
          <w:rFonts w:hint="eastAsia" w:ascii="宋体" w:hAnsi="宋体" w:eastAsia="宋体" w:cs="宋体"/>
          <w:b w:val="0"/>
          <w:sz w:val="21"/>
          <w:szCs w:val="21"/>
          <w:highlight w:val="none"/>
        </w:rPr>
      </w:pPr>
      <w:bookmarkStart w:id="36" w:name="_Toc321_WPSOffice_Level2"/>
      <w:bookmarkStart w:id="37" w:name="_Toc28571_WPSOffice_Level2"/>
      <w:bookmarkStart w:id="38" w:name="_Toc20572_WPSOffice_Level2"/>
      <w:bookmarkStart w:id="39" w:name="_Toc8501"/>
      <w:bookmarkStart w:id="40" w:name="_Toc26829"/>
      <w:bookmarkStart w:id="41" w:name="_Toc525632592"/>
      <w:bookmarkStart w:id="42" w:name="_Toc14943_WPSOffice_Level2"/>
      <w:r>
        <w:rPr>
          <w:rFonts w:hint="eastAsia" w:ascii="Times New Roman" w:hAnsi="Times New Roman" w:eastAsia="黑体" w:cs="Times New Roman"/>
          <w:b w:val="0"/>
          <w:sz w:val="22"/>
          <w:szCs w:val="15"/>
          <w:highlight w:val="none"/>
        </w:rPr>
        <w:t>采购人联系方式</w:t>
      </w:r>
      <w:bookmarkEnd w:id="36"/>
      <w:bookmarkEnd w:id="37"/>
      <w:bookmarkEnd w:id="38"/>
      <w:bookmarkEnd w:id="39"/>
      <w:bookmarkEnd w:id="40"/>
      <w:bookmarkEnd w:id="41"/>
      <w:bookmarkEnd w:id="42"/>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 购 人：</w:t>
      </w:r>
      <w:r>
        <w:rPr>
          <w:rFonts w:hint="eastAsia" w:ascii="宋体" w:hAnsi="宋体" w:eastAsia="宋体" w:cs="宋体"/>
          <w:color w:val="auto"/>
          <w:kern w:val="2"/>
          <w:sz w:val="21"/>
          <w:szCs w:val="21"/>
          <w:highlight w:val="none"/>
          <w:lang w:eastAsia="zh-CN"/>
        </w:rPr>
        <w:t>安徽交控建设工程集团有限公司</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地    址：</w:t>
      </w:r>
      <w:r>
        <w:rPr>
          <w:rFonts w:hint="eastAsia" w:ascii="宋体" w:hAnsi="宋体" w:eastAsia="宋体" w:cs="宋体"/>
          <w:color w:val="auto"/>
          <w:kern w:val="2"/>
          <w:sz w:val="21"/>
          <w:szCs w:val="21"/>
        </w:rPr>
        <w:t>安徽省合肥市包河区西藏路</w:t>
      </w: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588</w:t>
      </w:r>
      <w:r>
        <w:rPr>
          <w:rFonts w:hint="eastAsia" w:ascii="宋体" w:hAnsi="宋体" w:eastAsia="宋体" w:cs="宋体"/>
          <w:color w:val="auto"/>
          <w:kern w:val="2"/>
          <w:sz w:val="21"/>
          <w:szCs w:val="21"/>
          <w:highlight w:val="none"/>
        </w:rPr>
        <w:t>号高</w:t>
      </w:r>
      <w:r>
        <w:rPr>
          <w:rFonts w:hint="eastAsia" w:ascii="宋体" w:hAnsi="宋体" w:eastAsia="宋体" w:cs="宋体"/>
          <w:color w:val="auto"/>
          <w:kern w:val="2"/>
          <w:sz w:val="21"/>
          <w:szCs w:val="21"/>
        </w:rPr>
        <w:t>速时代广场C1栋</w:t>
      </w:r>
      <w:r>
        <w:rPr>
          <w:rFonts w:hint="eastAsia" w:ascii="宋体" w:hAnsi="宋体" w:eastAsia="宋体" w:cs="宋体"/>
          <w:color w:val="auto"/>
          <w:kern w:val="2"/>
          <w:sz w:val="21"/>
          <w:szCs w:val="21"/>
          <w:lang w:val="en-US" w:eastAsia="zh-CN"/>
        </w:rPr>
        <w:t>1008室</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邮政编码：</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u w:val="single"/>
          <w:lang w:val="en-US" w:eastAsia="zh-CN"/>
        </w:rPr>
        <w:t xml:space="preserve">    </w:t>
      </w:r>
      <w:r>
        <w:rPr>
          <w:rFonts w:hint="default" w:ascii="Times New Roman" w:hAnsi="Times New Roman" w:eastAsia="宋体" w:cs="Times New Roman"/>
          <w:color w:val="auto"/>
          <w:sz w:val="21"/>
          <w:szCs w:val="21"/>
          <w:u w:val="single"/>
        </w:rPr>
        <w:t xml:space="preserve">  /       </w:t>
      </w:r>
      <w:r>
        <w:rPr>
          <w:rFonts w:hint="default" w:ascii="Times New Roman" w:hAnsi="Times New Roman" w:eastAsia="宋体" w:cs="Times New Roman"/>
          <w:color w:val="auto"/>
          <w:sz w:val="21"/>
          <w:szCs w:val="21"/>
          <w:u w:val="single"/>
          <w:lang w:val="en-US" w:eastAsia="zh-CN"/>
        </w:rPr>
        <w:t xml:space="preserve">       </w:t>
      </w:r>
      <w:r>
        <w:rPr>
          <w:rFonts w:hint="default" w:ascii="Times New Roman" w:hAnsi="Times New Roman" w:eastAsia="宋体" w:cs="Times New Roman"/>
          <w:color w:val="auto"/>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联 系 人：</w:t>
      </w:r>
      <w:r>
        <w:rPr>
          <w:rFonts w:hint="default" w:ascii="Times New Roman" w:hAnsi="Times New Roman" w:eastAsia="宋体" w:cs="Times New Roman"/>
          <w:color w:val="auto"/>
          <w:sz w:val="21"/>
          <w:szCs w:val="21"/>
          <w:u w:val="single"/>
          <w:lang w:val="en-US" w:eastAsia="zh-CN"/>
        </w:rPr>
        <w:t xml:space="preserve">     </w:t>
      </w:r>
      <w:r>
        <w:rPr>
          <w:rFonts w:hint="eastAsia" w:ascii="Times New Roman" w:hAnsi="Times New Roman" w:eastAsia="宋体" w:cs="Times New Roman"/>
          <w:color w:val="auto"/>
          <w:sz w:val="21"/>
          <w:szCs w:val="21"/>
          <w:u w:val="single"/>
          <w:lang w:val="en-US" w:eastAsia="zh-CN"/>
        </w:rPr>
        <w:t>黄</w:t>
      </w:r>
      <w:r>
        <w:rPr>
          <w:rFonts w:hint="default" w:ascii="Times New Roman" w:hAnsi="Times New Roman" w:eastAsia="宋体" w:cs="Times New Roman"/>
          <w:color w:val="auto"/>
          <w:sz w:val="21"/>
          <w:szCs w:val="21"/>
          <w:u w:val="single"/>
          <w:lang w:val="en-US" w:eastAsia="zh-CN"/>
        </w:rPr>
        <w:t>工、</w:t>
      </w:r>
      <w:r>
        <w:rPr>
          <w:rFonts w:hint="eastAsia" w:ascii="Times New Roman" w:hAnsi="Times New Roman" w:eastAsia="宋体" w:cs="Times New Roman"/>
          <w:color w:val="auto"/>
          <w:sz w:val="21"/>
          <w:szCs w:val="21"/>
          <w:u w:val="single"/>
          <w:lang w:val="en-US" w:eastAsia="zh-CN"/>
        </w:rPr>
        <w:t>余</w:t>
      </w:r>
      <w:r>
        <w:rPr>
          <w:rFonts w:hint="default" w:ascii="Times New Roman" w:hAnsi="Times New Roman" w:eastAsia="宋体" w:cs="Times New Roman"/>
          <w:color w:val="auto"/>
          <w:sz w:val="21"/>
          <w:szCs w:val="21"/>
          <w:u w:val="single"/>
          <w:lang w:val="en-US" w:eastAsia="zh-CN"/>
        </w:rPr>
        <w:t xml:space="preserve">工              </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eastAsia="宋体" w:cs="Times New Roman"/>
          <w:color w:val="auto"/>
          <w:sz w:val="21"/>
          <w:szCs w:val="21"/>
          <w:u w:val="single"/>
          <w:lang w:val="en-US" w:eastAsia="zh-CN"/>
        </w:rPr>
      </w:pPr>
      <w:r>
        <w:rPr>
          <w:rFonts w:hint="default" w:ascii="Times New Roman" w:hAnsi="Times New Roman" w:eastAsia="宋体" w:cs="Times New Roman"/>
          <w:color w:val="auto"/>
          <w:sz w:val="21"/>
          <w:szCs w:val="21"/>
        </w:rPr>
        <w:t>电    话：</w:t>
      </w:r>
      <w:r>
        <w:rPr>
          <w:rFonts w:hint="default" w:ascii="Times New Roman" w:hAnsi="Times New Roman" w:eastAsia="宋体" w:cs="Times New Roman"/>
          <w:color w:val="auto"/>
          <w:sz w:val="21"/>
          <w:szCs w:val="21"/>
          <w:u w:val="single"/>
          <w:lang w:val="en-US" w:eastAsia="zh-CN"/>
        </w:rPr>
        <w:t xml:space="preserve">   18755488027、15</w:t>
      </w:r>
      <w:r>
        <w:rPr>
          <w:rFonts w:hint="eastAsia" w:ascii="Times New Roman" w:hAnsi="Times New Roman" w:eastAsia="宋体" w:cs="Times New Roman"/>
          <w:color w:val="auto"/>
          <w:sz w:val="21"/>
          <w:szCs w:val="21"/>
          <w:u w:val="single"/>
          <w:lang w:val="en-US" w:eastAsia="zh-CN"/>
        </w:rPr>
        <w:t>155106447</w:t>
      </w:r>
      <w:r>
        <w:rPr>
          <w:rFonts w:hint="default" w:ascii="Times New Roman" w:hAnsi="Times New Roman" w:eastAsia="宋体" w:cs="Times New Roman"/>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pPr>
      <w:r>
        <w:rPr>
          <w:rFonts w:hint="default" w:ascii="Times New Roman" w:hAnsi="Times New Roman" w:eastAsia="宋体" w:cs="Times New Roman"/>
          <w:color w:val="auto"/>
          <w:sz w:val="21"/>
          <w:szCs w:val="21"/>
        </w:rPr>
        <w:t>电子邮箱：</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u w:val="single"/>
          <w:lang w:val="en-US" w:eastAsia="zh-CN"/>
        </w:rPr>
        <w:t xml:space="preserve">    </w:t>
      </w:r>
      <w:r>
        <w:rPr>
          <w:rFonts w:hint="default" w:ascii="Times New Roman" w:hAnsi="Times New Roman" w:eastAsia="宋体" w:cs="Times New Roman"/>
          <w:color w:val="auto"/>
          <w:sz w:val="21"/>
          <w:szCs w:val="21"/>
          <w:u w:val="single"/>
        </w:rPr>
        <w:t xml:space="preserve">  /    </w:t>
      </w:r>
      <w:r>
        <w:rPr>
          <w:rFonts w:hint="default" w:ascii="Times New Roman" w:hAnsi="Times New Roman" w:eastAsia="宋体" w:cs="Times New Roman"/>
          <w:color w:val="auto"/>
          <w:sz w:val="21"/>
          <w:szCs w:val="21"/>
          <w:u w:val="single"/>
          <w:lang w:val="en-US" w:eastAsia="zh-CN"/>
        </w:rPr>
        <w:t xml:space="preserve">   </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u w:val="single"/>
          <w:lang w:val="en-US" w:eastAsia="zh-CN"/>
        </w:rPr>
        <w:t xml:space="preserve">       </w:t>
      </w:r>
      <w:r>
        <w:rPr>
          <w:rFonts w:hint="default" w:ascii="Times New Roman" w:hAnsi="Times New Roman" w:eastAsia="宋体" w:cs="Times New Roman"/>
          <w:color w:val="auto"/>
          <w:sz w:val="21"/>
          <w:szCs w:val="21"/>
          <w:u w:val="single"/>
        </w:rPr>
        <w:t xml:space="preserve">   </w:t>
      </w:r>
    </w:p>
    <w:p>
      <w:pPr>
        <w:rPr>
          <w:rFonts w:ascii="Times New Roman" w:hAnsi="Times New Roman" w:cs="Times New Roman"/>
          <w:sz w:val="24"/>
          <w:szCs w:val="28"/>
        </w:rPr>
      </w:pPr>
      <w:r>
        <w:rPr>
          <w:rFonts w:ascii="Times New Roman" w:hAnsi="Times New Roman" w:cs="Times New Roman"/>
          <w:sz w:val="24"/>
          <w:szCs w:val="28"/>
        </w:rPr>
        <w:br w:type="page"/>
      </w:r>
    </w:p>
    <w:p>
      <w:pPr>
        <w:pStyle w:val="5"/>
        <w:spacing w:before="312" w:after="312"/>
        <w:rPr>
          <w:rFonts w:ascii="Times New Roman" w:hAnsi="Times New Roman" w:eastAsia="宋体" w:cs="Times New Roman"/>
        </w:rPr>
      </w:pPr>
      <w:bookmarkStart w:id="43" w:name="_Toc23331"/>
      <w:r>
        <w:rPr>
          <w:rFonts w:ascii="Times New Roman" w:hAnsi="Times New Roman" w:eastAsia="宋体" w:cs="Times New Roman"/>
        </w:rPr>
        <w:t>供应商须知</w:t>
      </w:r>
      <w:bookmarkEnd w:id="43"/>
    </w:p>
    <w:p>
      <w:pPr>
        <w:spacing w:line="440" w:lineRule="exact"/>
        <w:jc w:val="center"/>
        <w:outlineLvl w:val="1"/>
        <w:rPr>
          <w:rFonts w:ascii="Times New Roman" w:hAnsi="Times New Roman" w:eastAsia="黑体" w:cs="Times New Roman"/>
          <w:sz w:val="28"/>
          <w:szCs w:val="28"/>
        </w:rPr>
      </w:pPr>
      <w:bookmarkStart w:id="44" w:name="_Toc16069"/>
      <w:bookmarkStart w:id="45" w:name="_Toc55466811"/>
      <w:bookmarkStart w:id="46" w:name="_Toc26656928"/>
      <w:bookmarkStart w:id="47" w:name="_Toc19501"/>
      <w:bookmarkStart w:id="48" w:name="_Toc29381_WPSOffice_Level2"/>
      <w:r>
        <w:rPr>
          <w:rFonts w:ascii="Times New Roman" w:hAnsi="Times New Roman" w:eastAsia="黑体" w:cs="Times New Roman"/>
          <w:sz w:val="28"/>
          <w:szCs w:val="28"/>
        </w:rPr>
        <w:t>供应商须知前附表</w:t>
      </w:r>
      <w:bookmarkEnd w:id="44"/>
      <w:bookmarkEnd w:id="45"/>
      <w:bookmarkEnd w:id="46"/>
      <w:bookmarkEnd w:id="47"/>
      <w:bookmarkEnd w:id="48"/>
    </w:p>
    <w:tbl>
      <w:tblPr>
        <w:tblStyle w:val="21"/>
        <w:tblW w:w="9181" w:type="dxa"/>
        <w:tblInd w:w="0" w:type="dxa"/>
        <w:tblLayout w:type="fixed"/>
        <w:tblCellMar>
          <w:top w:w="0" w:type="dxa"/>
          <w:left w:w="108" w:type="dxa"/>
          <w:bottom w:w="0" w:type="dxa"/>
          <w:right w:w="108" w:type="dxa"/>
        </w:tblCellMar>
      </w:tblPr>
      <w:tblGrid>
        <w:gridCol w:w="1000"/>
        <w:gridCol w:w="2572"/>
        <w:gridCol w:w="5609"/>
      </w:tblGrid>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480" w:lineRule="exact"/>
              <w:jc w:val="center"/>
              <w:rPr>
                <w:rFonts w:ascii="Times New Roman" w:hAnsi="Times New Roman" w:eastAsia="宋体" w:cs="Times New Roman"/>
                <w:b/>
                <w:szCs w:val="21"/>
              </w:rPr>
            </w:pPr>
            <w:r>
              <w:rPr>
                <w:rFonts w:ascii="Times New Roman" w:hAnsi="Times New Roman" w:eastAsia="宋体" w:cs="Times New Roman"/>
                <w:b/>
                <w:szCs w:val="21"/>
              </w:rPr>
              <w:t>条款号</w:t>
            </w:r>
          </w:p>
        </w:tc>
        <w:tc>
          <w:tcPr>
            <w:tcW w:w="257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480" w:lineRule="exact"/>
              <w:jc w:val="center"/>
              <w:rPr>
                <w:rFonts w:ascii="Times New Roman" w:hAnsi="Times New Roman" w:eastAsia="宋体" w:cs="Times New Roman"/>
                <w:b/>
                <w:szCs w:val="21"/>
              </w:rPr>
            </w:pPr>
            <w:r>
              <w:rPr>
                <w:rFonts w:ascii="Times New Roman" w:hAnsi="Times New Roman" w:eastAsia="宋体" w:cs="Times New Roman"/>
                <w:b/>
                <w:szCs w:val="21"/>
              </w:rPr>
              <w:t>条  款  名  称</w:t>
            </w:r>
          </w:p>
        </w:tc>
        <w:tc>
          <w:tcPr>
            <w:tcW w:w="560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480" w:lineRule="exact"/>
              <w:jc w:val="center"/>
              <w:rPr>
                <w:rFonts w:ascii="Times New Roman" w:hAnsi="Times New Roman" w:eastAsia="宋体" w:cs="Times New Roman"/>
                <w:b/>
                <w:szCs w:val="21"/>
              </w:rPr>
            </w:pPr>
            <w:r>
              <w:rPr>
                <w:rFonts w:ascii="Times New Roman" w:hAnsi="Times New Roman" w:eastAsia="宋体" w:cs="Times New Roman"/>
                <w:b/>
                <w:szCs w:val="21"/>
              </w:rPr>
              <w:t>编  列  内  容</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1</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质量要求</w:t>
            </w:r>
          </w:p>
        </w:tc>
        <w:tc>
          <w:tcPr>
            <w:tcW w:w="5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Times New Roman" w:hAnsi="Times New Roman" w:eastAsia="宋体" w:cs="Times New Roman"/>
                <w:kern w:val="0"/>
                <w:szCs w:val="21"/>
              </w:rPr>
            </w:pPr>
            <w:r>
              <w:rPr>
                <w:rFonts w:hint="eastAsia" w:ascii="Times New Roman" w:hAnsi="Times New Roman" w:eastAsia="宋体" w:cs="Times New Roman"/>
                <w:color w:val="000000" w:themeColor="text1"/>
                <w:kern w:val="0"/>
                <w:szCs w:val="21"/>
                <w:highlight w:val="none"/>
                <w14:textFill>
                  <w14:solidFill>
                    <w14:schemeClr w14:val="tx1"/>
                  </w14:solidFill>
                </w14:textFill>
              </w:rPr>
              <w:t>满足国家最新颁布的质量技术标准和本项目的特殊要求。</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1.2.2</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供应商其他资格要求</w:t>
            </w:r>
          </w:p>
        </w:tc>
        <w:tc>
          <w:tcPr>
            <w:tcW w:w="5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见第一章 采购公告/采购邀请书第3.1款要求。</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1.2.3</w:t>
            </w:r>
          </w:p>
        </w:tc>
        <w:tc>
          <w:tcPr>
            <w:tcW w:w="2572" w:type="dxa"/>
            <w:tcBorders>
              <w:top w:val="single" w:color="auto" w:sz="4" w:space="0"/>
              <w:left w:val="single" w:color="auto" w:sz="4" w:space="0"/>
              <w:bottom w:val="single" w:color="auto" w:sz="4" w:space="0"/>
              <w:right w:val="single" w:color="auto" w:sz="4" w:space="0"/>
            </w:tcBorders>
            <w:vAlign w:val="center"/>
          </w:tcPr>
          <w:p>
            <w:pPr>
              <w:ind w:left="105" w:leftChars="50"/>
              <w:jc w:val="center"/>
              <w:rPr>
                <w:rFonts w:hint="eastAsia" w:ascii="Times New Roman" w:hAnsi="Times New Roman" w:eastAsia="宋体" w:cs="Times New Roman"/>
                <w:szCs w:val="21"/>
              </w:rPr>
            </w:pPr>
            <w:r>
              <w:rPr>
                <w:rFonts w:hint="eastAsia" w:ascii="Times New Roman" w:hAnsi="Times New Roman" w:eastAsia="宋体" w:cs="Times New Roman"/>
                <w:szCs w:val="21"/>
                <w:lang w:eastAsia="zh-CN"/>
              </w:rPr>
              <w:t>供应商</w:t>
            </w:r>
            <w:r>
              <w:rPr>
                <w:rFonts w:hint="eastAsia" w:ascii="Times New Roman" w:hAnsi="Times New Roman" w:eastAsia="宋体" w:cs="Times New Roman"/>
                <w:szCs w:val="21"/>
              </w:rPr>
              <w:t>资质条件、能力、信誉</w:t>
            </w:r>
          </w:p>
        </w:tc>
        <w:tc>
          <w:tcPr>
            <w:tcW w:w="5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hint="default" w:ascii="Times New Roman" w:hAnsi="Times New Roman" w:eastAsia="宋体" w:cs="Times New Roman"/>
                <w:color w:val="000000" w:themeColor="text1"/>
                <w:kern w:val="0"/>
                <w:szCs w:val="21"/>
                <w:highlight w:val="none"/>
                <w14:textFill>
                  <w14:solidFill>
                    <w14:schemeClr w14:val="tx1"/>
                  </w14:solidFill>
                </w14:textFill>
              </w:rPr>
            </w:pPr>
            <w:r>
              <w:rPr>
                <w:rFonts w:hint="default" w:ascii="Times New Roman" w:hAnsi="Times New Roman" w:eastAsia="宋体" w:cs="Times New Roman"/>
                <w:color w:val="000000" w:themeColor="text1"/>
                <w:kern w:val="0"/>
                <w:szCs w:val="21"/>
                <w:highlight w:val="none"/>
                <w14:textFill>
                  <w14:solidFill>
                    <w14:schemeClr w14:val="tx1"/>
                  </w14:solidFill>
                </w14:textFill>
              </w:rPr>
              <w:t>资质条件：见附录1</w:t>
            </w:r>
          </w:p>
          <w:p>
            <w:pPr>
              <w:widowControl/>
              <w:spacing w:line="480" w:lineRule="exact"/>
              <w:jc w:val="left"/>
              <w:rPr>
                <w:rFonts w:hint="default" w:ascii="Times New Roman" w:hAnsi="Times New Roman" w:eastAsia="宋体" w:cs="Times New Roman"/>
                <w:color w:val="000000" w:themeColor="text1"/>
                <w:kern w:val="0"/>
                <w:szCs w:val="21"/>
                <w:highlight w:val="none"/>
                <w14:textFill>
                  <w14:solidFill>
                    <w14:schemeClr w14:val="tx1"/>
                  </w14:solidFill>
                </w14:textFill>
              </w:rPr>
            </w:pPr>
            <w:r>
              <w:rPr>
                <w:rFonts w:hint="default" w:ascii="Times New Roman" w:hAnsi="Times New Roman" w:eastAsia="宋体" w:cs="Times New Roman"/>
                <w:color w:val="000000" w:themeColor="text1"/>
                <w:kern w:val="0"/>
                <w:szCs w:val="21"/>
                <w:highlight w:val="none"/>
                <w14:textFill>
                  <w14:solidFill>
                    <w14:schemeClr w14:val="tx1"/>
                  </w14:solidFill>
                </w14:textFill>
              </w:rPr>
              <w:t>业绩要求：见附录2</w:t>
            </w:r>
          </w:p>
          <w:p>
            <w:pPr>
              <w:widowControl/>
              <w:spacing w:line="480" w:lineRule="exact"/>
              <w:jc w:val="left"/>
              <w:rPr>
                <w:rFonts w:hint="eastAsia" w:ascii="Times New Roman" w:hAnsi="Times New Roman" w:eastAsia="宋体" w:cs="Times New Roman"/>
                <w:kern w:val="0"/>
                <w:szCs w:val="21"/>
              </w:rPr>
            </w:pPr>
            <w:r>
              <w:rPr>
                <w:rFonts w:hint="default" w:ascii="Times New Roman" w:hAnsi="Times New Roman" w:eastAsia="宋体" w:cs="Times New Roman"/>
                <w:color w:val="000000" w:themeColor="text1"/>
                <w:kern w:val="0"/>
                <w:szCs w:val="21"/>
                <w:highlight w:val="none"/>
                <w14:textFill>
                  <w14:solidFill>
                    <w14:schemeClr w14:val="tx1"/>
                  </w14:solidFill>
                </w14:textFill>
              </w:rPr>
              <w:t>信誉要求：见附录3</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1.2.4</w:t>
            </w:r>
          </w:p>
        </w:tc>
        <w:tc>
          <w:tcPr>
            <w:tcW w:w="25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szCs w:val="21"/>
              </w:rPr>
            </w:pPr>
            <w:r>
              <w:rPr>
                <w:rFonts w:hint="eastAsia" w:ascii="Times New Roman" w:hAnsi="Times New Roman" w:eastAsia="宋体" w:cs="Times New Roman"/>
                <w:szCs w:val="21"/>
              </w:rPr>
              <w:t>是否接受联合体投标</w:t>
            </w:r>
          </w:p>
        </w:tc>
        <w:tc>
          <w:tcPr>
            <w:tcW w:w="5609" w:type="dxa"/>
            <w:tcBorders>
              <w:top w:val="single" w:color="auto" w:sz="4" w:space="0"/>
              <w:left w:val="single" w:color="auto" w:sz="4" w:space="0"/>
              <w:bottom w:val="single" w:color="auto" w:sz="4" w:space="0"/>
              <w:right w:val="single" w:color="auto" w:sz="4" w:space="0"/>
            </w:tcBorders>
            <w:vAlign w:val="center"/>
          </w:tcPr>
          <w:p>
            <w:pPr>
              <w:ind w:left="42" w:leftChars="20" w:right="42" w:rightChars="20"/>
              <w:rPr>
                <w:rFonts w:hint="eastAsia" w:ascii="Times New Roman" w:hAnsi="Times New Roman" w:eastAsia="宋体" w:cs="Times New Roman"/>
                <w:kern w:val="0"/>
                <w:szCs w:val="21"/>
              </w:rPr>
            </w:pPr>
            <w:r>
              <w:rPr>
                <w:rFonts w:hint="eastAsia" w:ascii="Times New Roman" w:hAnsi="Times New Roman" w:eastAsia="宋体" w:cs="Times New Roman"/>
                <w:szCs w:val="21"/>
              </w:rPr>
              <w:t>不接受</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1.6.1</w:t>
            </w:r>
          </w:p>
        </w:tc>
        <w:tc>
          <w:tcPr>
            <w:tcW w:w="257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现场踏勘</w:t>
            </w:r>
          </w:p>
        </w:tc>
        <w:tc>
          <w:tcPr>
            <w:tcW w:w="5609"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供应商自行踏勘现场且费用自理，未踏勘现场的供应商视为已认可现场地貌，并具备施工条件，施工中不得以任何理由提出索赔。</w:t>
            </w:r>
          </w:p>
          <w:p>
            <w:pPr>
              <w:pStyle w:val="10"/>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踏勘地址：安徽省DXL改造提升工程项目部（合肥市蜀山区金寨路311号）</w:t>
            </w:r>
          </w:p>
          <w:p>
            <w:pPr>
              <w:pStyle w:val="10"/>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color w:val="auto"/>
                <w:kern w:val="2"/>
                <w:sz w:val="21"/>
                <w:szCs w:val="21"/>
                <w:highlight w:val="none"/>
                <w:lang w:val="en-US" w:eastAsia="zh-CN" w:bidi="ar-SA"/>
              </w:rPr>
              <w:t>踏勘联系人：黄工，18755488027</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3.1</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响应文件其他材料要求</w:t>
            </w:r>
          </w:p>
        </w:tc>
        <w:tc>
          <w:tcPr>
            <w:tcW w:w="5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无</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3.2.</w:t>
            </w:r>
            <w:r>
              <w:rPr>
                <w:rFonts w:hint="eastAsia" w:ascii="Times New Roman" w:hAnsi="Times New Roman" w:eastAsia="宋体" w:cs="Times New Roman"/>
                <w:szCs w:val="21"/>
              </w:rPr>
              <w:t>4</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报价方式</w:t>
            </w:r>
          </w:p>
        </w:tc>
        <w:tc>
          <w:tcPr>
            <w:tcW w:w="5609"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宋体" w:cs="Times New Roman"/>
                <w:szCs w:val="21"/>
              </w:rPr>
            </w:pPr>
            <w:r>
              <w:rPr>
                <w:rFonts w:hint="eastAsia"/>
                <w:highlight w:val="none"/>
                <w:lang w:eastAsia="zh-CN"/>
              </w:rPr>
              <w:t>☑</w:t>
            </w:r>
            <w:r>
              <w:rPr>
                <w:rFonts w:hint="eastAsia" w:ascii="Times New Roman" w:hAnsi="Times New Roman" w:eastAsia="宋体" w:cs="Times New Roman"/>
                <w:szCs w:val="21"/>
              </w:rPr>
              <w:t>固定</w:t>
            </w:r>
            <w:r>
              <w:rPr>
                <w:rFonts w:ascii="Times New Roman" w:hAnsi="Times New Roman" w:eastAsia="宋体" w:cs="Times New Roman"/>
                <w:szCs w:val="21"/>
              </w:rPr>
              <w:t>单价</w:t>
            </w:r>
          </w:p>
          <w:p>
            <w:pPr>
              <w:spacing w:line="480" w:lineRule="exact"/>
              <w:rPr>
                <w:rFonts w:ascii="Times New Roman" w:hAnsi="Times New Roman" w:eastAsia="宋体" w:cs="Times New Roman"/>
                <w:szCs w:val="21"/>
              </w:rPr>
            </w:pPr>
            <w:r>
              <w:rPr>
                <w:rFonts w:hint="eastAsia"/>
                <w:lang w:eastAsia="zh-CN"/>
              </w:rPr>
              <w:t>□</w:t>
            </w:r>
            <w:r>
              <w:rPr>
                <w:rFonts w:hint="eastAsia" w:ascii="Times New Roman" w:hAnsi="Times New Roman" w:eastAsia="宋体" w:cs="Times New Roman"/>
                <w:szCs w:val="21"/>
              </w:rPr>
              <w:t>固定</w:t>
            </w:r>
            <w:r>
              <w:rPr>
                <w:rFonts w:ascii="Times New Roman" w:hAnsi="Times New Roman" w:eastAsia="宋体" w:cs="Times New Roman"/>
                <w:szCs w:val="21"/>
              </w:rPr>
              <w:t>总价</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3.2.</w:t>
            </w:r>
            <w:r>
              <w:rPr>
                <w:rFonts w:hint="eastAsia" w:ascii="Times New Roman" w:hAnsi="Times New Roman" w:eastAsia="宋体" w:cs="Times New Roman"/>
                <w:szCs w:val="21"/>
              </w:rPr>
              <w:t>5</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报价的其他要求</w:t>
            </w:r>
          </w:p>
        </w:tc>
        <w:tc>
          <w:tcPr>
            <w:tcW w:w="5609"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宋体" w:cs="Times New Roman"/>
                <w:szCs w:val="21"/>
              </w:rPr>
            </w:pPr>
            <w:r>
              <w:rPr>
                <w:rFonts w:hint="eastAsia" w:ascii="Times New Roman" w:hAnsi="Times New Roman" w:eastAsia="宋体" w:cs="Times New Roman"/>
                <w:szCs w:val="21"/>
              </w:rPr>
              <w:t>无</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3.4.4</w:t>
            </w:r>
            <w:r>
              <w:rPr>
                <w:rFonts w:hint="eastAsia" w:ascii="Times New Roman" w:hAnsi="Times New Roman" w:eastAsia="宋体" w:cs="Times New Roman"/>
                <w:szCs w:val="21"/>
              </w:rPr>
              <w:t>（3）</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cs="Times New Roman"/>
              </w:rPr>
              <w:t>其他不予退还响应保证金的情形</w:t>
            </w:r>
          </w:p>
        </w:tc>
        <w:tc>
          <w:tcPr>
            <w:tcW w:w="5609"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sz w:val="21"/>
                <w:szCs w:val="21"/>
              </w:rPr>
            </w:pPr>
            <w:r>
              <w:rPr>
                <w:rFonts w:hint="eastAsia" w:ascii="宋体" w:hAnsi="宋体" w:eastAsia="宋体" w:cs="宋体"/>
                <w:sz w:val="22"/>
                <w:szCs w:val="22"/>
              </w:rPr>
              <w:t>报</w:t>
            </w:r>
            <w:r>
              <w:rPr>
                <w:rFonts w:hint="eastAsia" w:ascii="宋体" w:hAnsi="宋体" w:eastAsia="宋体" w:cs="宋体"/>
                <w:sz w:val="21"/>
                <w:szCs w:val="21"/>
              </w:rPr>
              <w:t>价方出现以下情形的，其询价响应保证金将不予退还：</w:t>
            </w:r>
          </w:p>
          <w:p>
            <w:pPr>
              <w:pStyle w:val="10"/>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lang w:eastAsia="zh-CN"/>
              </w:rPr>
              <w:t>）</w:t>
            </w:r>
            <w:r>
              <w:rPr>
                <w:rFonts w:hint="eastAsia" w:ascii="宋体" w:hAnsi="宋体" w:eastAsia="宋体" w:cs="宋体"/>
                <w:sz w:val="21"/>
                <w:szCs w:val="21"/>
              </w:rPr>
              <w:t>报价方在规定的响应有效期内撤销其响应文件</w:t>
            </w:r>
            <w:r>
              <w:rPr>
                <w:rFonts w:hint="eastAsia" w:ascii="宋体" w:hAnsi="宋体" w:eastAsia="宋体" w:cs="宋体"/>
                <w:sz w:val="21"/>
                <w:szCs w:val="21"/>
                <w:lang w:eastAsia="zh-CN"/>
              </w:rPr>
              <w:t>。</w:t>
            </w:r>
          </w:p>
          <w:p>
            <w:pPr>
              <w:pStyle w:val="10"/>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eastAsia="zh-CN"/>
              </w:rPr>
              <w:t>）</w:t>
            </w:r>
            <w:r>
              <w:rPr>
                <w:rFonts w:hint="eastAsia" w:ascii="宋体" w:hAnsi="宋体" w:eastAsia="宋体" w:cs="宋体"/>
                <w:sz w:val="21"/>
                <w:szCs w:val="21"/>
              </w:rPr>
              <w:t>成交候选方无正当理由放弃成交资格的；或成交方无正当理由不与采购人签订合同的；或成交方在签订合同时向采购方提出附加条件或者更改合同实质性内容的；询价响应保证金按违约予以全额扣除。</w:t>
            </w:r>
          </w:p>
          <w:p>
            <w:pPr>
              <w:pStyle w:val="10"/>
              <w:keepNext w:val="0"/>
              <w:keepLines w:val="0"/>
              <w:pageBreakBefore w:val="0"/>
              <w:widowControl w:val="0"/>
              <w:kinsoku/>
              <w:wordWrap/>
              <w:overflowPunct/>
              <w:topLinePunct w:val="0"/>
              <w:autoSpaceDE/>
              <w:autoSpaceDN/>
              <w:bidi w:val="0"/>
              <w:adjustRightInd/>
              <w:snapToGrid/>
              <w:spacing w:after="0" w:line="440" w:lineRule="exact"/>
              <w:textAlignment w:val="auto"/>
              <w:rPr>
                <w:rFonts w:ascii="Times New Roman" w:hAnsi="Times New Roman" w:eastAsia="宋体" w:cs="Times New Roman"/>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lang w:eastAsia="zh-CN"/>
              </w:rPr>
              <w:t>）</w:t>
            </w:r>
            <w:r>
              <w:rPr>
                <w:rFonts w:hint="eastAsia" w:ascii="宋体" w:hAnsi="宋体" w:eastAsia="宋体" w:cs="宋体"/>
                <w:sz w:val="21"/>
                <w:szCs w:val="21"/>
              </w:rPr>
              <w:t>供应商存在以他人名义报价、与他人串通报价、以行贿手段谋取成交、弄虚作假等行为。</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3.6.3（2）</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cs="Times New Roman"/>
              </w:rPr>
            </w:pPr>
            <w:r>
              <w:rPr>
                <w:rFonts w:hint="eastAsia" w:ascii="Times New Roman" w:hAnsi="Times New Roman" w:cs="Times New Roman"/>
              </w:rPr>
              <w:t>响应文件副本份数</w:t>
            </w:r>
          </w:p>
        </w:tc>
        <w:tc>
          <w:tcPr>
            <w:tcW w:w="5609"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宋体" w:cs="Times New Roman"/>
                <w:szCs w:val="21"/>
                <w:highlight w:val="yellow"/>
                <w:u w:val="single"/>
              </w:rPr>
            </w:pPr>
            <w:r>
              <w:rPr>
                <w:rFonts w:hint="eastAsia" w:ascii="Times New Roman" w:hAnsi="Times New Roman" w:cs="Times New Roman"/>
                <w:highlight w:val="none"/>
              </w:rPr>
              <w:t>响应文件应</w:t>
            </w:r>
            <w:r>
              <w:rPr>
                <w:rFonts w:hint="eastAsia" w:ascii="Times New Roman" w:hAnsi="Times New Roman" w:cs="Times New Roman"/>
                <w:b w:val="0"/>
                <w:bCs w:val="0"/>
                <w:highlight w:val="none"/>
              </w:rPr>
              <w:t>胶装成册</w:t>
            </w:r>
            <w:r>
              <w:rPr>
                <w:rFonts w:hint="eastAsia" w:ascii="Times New Roman" w:hAnsi="Times New Roman" w:cs="Times New Roman"/>
                <w:b/>
                <w:bCs/>
                <w:highlight w:val="none"/>
              </w:rPr>
              <w:t>，</w:t>
            </w:r>
            <w:r>
              <w:rPr>
                <w:rFonts w:ascii="Times New Roman" w:hAnsi="Times New Roman" w:cs="Times New Roman"/>
                <w:highlight w:val="none"/>
              </w:rPr>
              <w:t>正</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副本各</w:t>
            </w:r>
            <w:r>
              <w:rPr>
                <w:rFonts w:ascii="Times New Roman" w:hAnsi="Times New Roman" w:cs="Times New Roman"/>
                <w:highlight w:val="none"/>
              </w:rPr>
              <w:t>一份。</w:t>
            </w:r>
            <w:r>
              <w:rPr>
                <w:rFonts w:hint="eastAsia" w:ascii="Times New Roman" w:hAnsi="Times New Roman" w:cs="Times New Roman"/>
                <w:highlight w:val="none"/>
                <w:lang w:val="en-US" w:eastAsia="zh-CN"/>
              </w:rPr>
              <w:t>正副本内容不一致时，以正本为准。（需密封，电子版文件随文件正本提交</w:t>
            </w:r>
            <w:r>
              <w:rPr>
                <w:rFonts w:hint="eastAsia" w:ascii="仿宋_GB2312" w:hAnsi="仿宋_GB2312" w:eastAsia="仿宋_GB2312" w:cs="仿宋_GB2312"/>
                <w:color w:val="000000"/>
                <w:kern w:val="0"/>
                <w:sz w:val="24"/>
                <w:szCs w:val="24"/>
                <w:highlight w:val="none"/>
                <w:lang w:val="en-US" w:eastAsia="zh-CN" w:bidi="ar"/>
              </w:rPr>
              <w:t>）</w:t>
            </w:r>
          </w:p>
        </w:tc>
      </w:tr>
      <w:tr>
        <w:tblPrEx>
          <w:tblCellMar>
            <w:top w:w="0" w:type="dxa"/>
            <w:left w:w="108" w:type="dxa"/>
            <w:bottom w:w="0" w:type="dxa"/>
            <w:right w:w="108" w:type="dxa"/>
          </w:tblCellMar>
        </w:tblPrEx>
        <w:trPr>
          <w:trHeight w:val="567" w:hRule="atLeast"/>
        </w:trPr>
        <w:tc>
          <w:tcPr>
            <w:tcW w:w="1000"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Times New Roman" w:hAnsi="Times New Roman" w:eastAsia="宋体" w:cs="Times New Roman"/>
                <w:szCs w:val="21"/>
              </w:rPr>
            </w:pPr>
            <w:r>
              <w:rPr>
                <w:rFonts w:hint="eastAsia" w:ascii="Times New Roman" w:hAnsi="Times New Roman" w:cs="Times New Roman"/>
                <w:lang w:val="en-US" w:eastAsia="zh-CN"/>
              </w:rPr>
              <w:t>4.1</w:t>
            </w:r>
          </w:p>
        </w:tc>
        <w:tc>
          <w:tcPr>
            <w:tcW w:w="2572"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Times New Roman" w:hAnsi="Times New Roman" w:cs="Times New Roman"/>
              </w:rPr>
            </w:pPr>
            <w:r>
              <w:rPr>
                <w:rFonts w:hint="eastAsia" w:ascii="Times New Roman" w:hAnsi="Times New Roman" w:cs="Times New Roman"/>
              </w:rPr>
              <w:t>响应文件的密封和标记</w:t>
            </w:r>
          </w:p>
        </w:tc>
        <w:tc>
          <w:tcPr>
            <w:tcW w:w="5609"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Times New Roman" w:hAnsi="Times New Roman" w:cs="Times New Roman"/>
                <w:highlight w:val="yellow"/>
              </w:rPr>
            </w:pPr>
            <w:r>
              <w:rPr>
                <w:rFonts w:ascii="Times New Roman" w:hAnsi="Times New Roman" w:cs="Times New Roman"/>
              </w:rPr>
              <w:t>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w:t>
            </w:r>
            <w:r>
              <w:rPr>
                <w:rFonts w:hint="eastAsia" w:ascii="Times New Roman" w:hAnsi="Times New Roman" w:cs="Times New Roman"/>
                <w:lang w:val="en-US" w:eastAsia="zh-CN"/>
              </w:rPr>
              <w:t>第一信封（商务技术文件）与第二信封（报价文件）分开密封。</w:t>
            </w:r>
          </w:p>
        </w:tc>
      </w:tr>
      <w:tr>
        <w:trPr>
          <w:trHeight w:val="567" w:hRule="atLeast"/>
        </w:trPr>
        <w:tc>
          <w:tcPr>
            <w:tcW w:w="1000" w:type="dxa"/>
            <w:vMerge w:val="continue"/>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Times New Roman" w:hAnsi="Times New Roman" w:eastAsia="宋体" w:cs="Times New Roman"/>
                <w:szCs w:val="21"/>
              </w:rPr>
            </w:pPr>
          </w:p>
        </w:tc>
        <w:tc>
          <w:tcPr>
            <w:tcW w:w="2572" w:type="dxa"/>
            <w:vMerge w:val="continue"/>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Times New Roman" w:hAnsi="Times New Roman" w:cs="Times New Roman"/>
              </w:rPr>
            </w:pPr>
          </w:p>
        </w:tc>
        <w:tc>
          <w:tcPr>
            <w:tcW w:w="56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rPr>
            </w:pPr>
            <w:r>
              <w:rPr>
                <w:rFonts w:hint="eastAsia" w:ascii="Times New Roman" w:hAnsi="Times New Roman" w:cs="Times New Roman"/>
                <w:lang w:val="en-US" w:eastAsia="zh-CN"/>
              </w:rPr>
              <w:t>响应文件第一信封（商务技术文件）</w:t>
            </w:r>
            <w:r>
              <w:rPr>
                <w:rFonts w:hint="eastAsia" w:ascii="Times New Roman" w:hAnsi="Times New Roman" w:cs="Times New Roman"/>
              </w:rPr>
              <w:t>封套上注明：</w:t>
            </w:r>
          </w:p>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rPr>
              <w:t>供应商名称：</w:t>
            </w:r>
            <w:r>
              <w:rPr>
                <w:rFonts w:hint="eastAsia" w:ascii="Times New Roman" w:hAnsi="Times New Roman" w:eastAsia="黑体" w:cs="黑体"/>
                <w:bCs/>
                <w:snapToGrid w:val="0"/>
                <w:kern w:val="0"/>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(项目</w:t>
            </w:r>
            <w:r>
              <w:rPr>
                <w:rFonts w:hint="eastAsia" w:ascii="Times New Roman" w:hAnsi="Times New Roman" w:eastAsia="黑体" w:cs="黑体"/>
              </w:rPr>
              <w:t>名称</w:t>
            </w:r>
            <w:r>
              <w:rPr>
                <w:rFonts w:hint="eastAsia" w:ascii="Times New Roman" w:hAnsi="Times New Roman" w:eastAsia="黑体" w:cs="黑体"/>
                <w:bCs/>
                <w:snapToGrid w:val="0"/>
                <w:kern w:val="0"/>
                <w:szCs w:val="21"/>
              </w:rPr>
              <w:t>)</w:t>
            </w:r>
            <w:r>
              <w:rPr>
                <w:rFonts w:hint="eastAsia" w:ascii="Times New Roman" w:hAnsi="Times New Roman" w:eastAsia="黑体" w:cs="黑体"/>
                <w:bCs/>
                <w:snapToGrid w:val="0"/>
                <w:kern w:val="0"/>
                <w:szCs w:val="21"/>
                <w:u w:val="none"/>
                <w:lang w:val="en-US" w:eastAsia="zh-CN"/>
              </w:rPr>
              <w:t>第一信封（商务技术文件）</w:t>
            </w:r>
            <w:r>
              <w:rPr>
                <w:rFonts w:hint="eastAsia" w:ascii="Times New Roman" w:hAnsi="Times New Roman" w:eastAsia="黑体" w:cs="黑体"/>
                <w:bCs/>
                <w:snapToGrid w:val="0"/>
                <w:kern w:val="0"/>
                <w:szCs w:val="21"/>
              </w:rPr>
              <w:t>响应文件</w:t>
            </w:r>
          </w:p>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Times New Roman" w:hAnsi="Times New Roman" w:cs="Times New Roman"/>
                <w:highlight w:val="yellow"/>
              </w:rPr>
            </w:pPr>
            <w:r>
              <w:rPr>
                <w:rFonts w:hint="eastAsia" w:ascii="Times New Roman" w:hAnsi="Times New Roman" w:eastAsia="黑体" w:cs="黑体"/>
                <w:bCs/>
                <w:snapToGrid w:val="0"/>
                <w:kern w:val="0"/>
                <w:szCs w:val="21"/>
              </w:rPr>
              <w:t>在</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年</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月</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日</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时</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分（递交响应文件的截止时间）前不得开启</w:t>
            </w:r>
          </w:p>
        </w:tc>
      </w:tr>
      <w:tr>
        <w:tblPrEx>
          <w:tblCellMar>
            <w:top w:w="0" w:type="dxa"/>
            <w:left w:w="108" w:type="dxa"/>
            <w:bottom w:w="0" w:type="dxa"/>
            <w:right w:w="108" w:type="dxa"/>
          </w:tblCellMar>
        </w:tblPrEx>
        <w:trPr>
          <w:trHeight w:val="567" w:hRule="atLeast"/>
        </w:trPr>
        <w:tc>
          <w:tcPr>
            <w:tcW w:w="1000" w:type="dxa"/>
            <w:vMerge w:val="continue"/>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Times New Roman" w:hAnsi="Times New Roman" w:eastAsia="宋体" w:cs="Times New Roman"/>
                <w:szCs w:val="21"/>
              </w:rPr>
            </w:pPr>
          </w:p>
        </w:tc>
        <w:tc>
          <w:tcPr>
            <w:tcW w:w="2572" w:type="dxa"/>
            <w:vMerge w:val="continue"/>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Times New Roman" w:hAnsi="Times New Roman" w:cs="Times New Roman"/>
              </w:rPr>
            </w:pPr>
          </w:p>
        </w:tc>
        <w:tc>
          <w:tcPr>
            <w:tcW w:w="56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Times New Roman" w:hAnsi="Times New Roman" w:cs="Times New Roman"/>
              </w:rPr>
            </w:pPr>
            <w:r>
              <w:rPr>
                <w:rFonts w:hint="eastAsia" w:ascii="Times New Roman" w:hAnsi="Times New Roman" w:cs="Times New Roman"/>
                <w:lang w:val="en-US" w:eastAsia="zh-CN"/>
              </w:rPr>
              <w:t>响应文件第二信封（报价文件）</w:t>
            </w:r>
            <w:r>
              <w:rPr>
                <w:rFonts w:hint="eastAsia" w:ascii="Times New Roman" w:hAnsi="Times New Roman" w:cs="Times New Roman"/>
              </w:rPr>
              <w:t>封套上注明：</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rPr>
              <w:t>供应商名称：</w:t>
            </w:r>
            <w:r>
              <w:rPr>
                <w:rFonts w:hint="eastAsia" w:ascii="Times New Roman" w:hAnsi="Times New Roman" w:eastAsia="黑体" w:cs="黑体"/>
                <w:bCs/>
                <w:snapToGrid w:val="0"/>
                <w:kern w:val="0"/>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(项目</w:t>
            </w:r>
            <w:r>
              <w:rPr>
                <w:rFonts w:hint="eastAsia" w:ascii="Times New Roman" w:hAnsi="Times New Roman" w:eastAsia="黑体" w:cs="黑体"/>
              </w:rPr>
              <w:t>名称</w:t>
            </w:r>
            <w:r>
              <w:rPr>
                <w:rFonts w:hint="eastAsia" w:ascii="Times New Roman" w:hAnsi="Times New Roman" w:eastAsia="黑体" w:cs="黑体"/>
                <w:bCs/>
                <w:snapToGrid w:val="0"/>
                <w:kern w:val="0"/>
                <w:szCs w:val="21"/>
              </w:rPr>
              <w:t>)</w:t>
            </w:r>
            <w:r>
              <w:rPr>
                <w:rFonts w:hint="eastAsia" w:ascii="Times New Roman" w:hAnsi="Times New Roman" w:eastAsia="黑体" w:cs="黑体"/>
                <w:bCs/>
                <w:snapToGrid w:val="0"/>
                <w:kern w:val="0"/>
                <w:szCs w:val="21"/>
                <w:u w:val="none"/>
                <w:lang w:val="en-US" w:eastAsia="zh-CN"/>
              </w:rPr>
              <w:t>第二信封（报价文件）</w:t>
            </w:r>
            <w:r>
              <w:rPr>
                <w:rFonts w:hint="eastAsia" w:ascii="Times New Roman" w:hAnsi="Times New Roman" w:eastAsia="黑体" w:cs="黑体"/>
                <w:bCs/>
                <w:snapToGrid w:val="0"/>
                <w:kern w:val="0"/>
                <w:szCs w:val="21"/>
              </w:rPr>
              <w:t>响应文件</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imes New Roman" w:hAnsi="Times New Roman" w:cs="Times New Roman"/>
                <w:highlight w:val="yellow"/>
              </w:rPr>
            </w:pPr>
            <w:r>
              <w:rPr>
                <w:rFonts w:hint="eastAsia" w:ascii="Times New Roman" w:hAnsi="Times New Roman" w:eastAsia="黑体" w:cs="黑体"/>
                <w:bCs/>
                <w:snapToGrid w:val="0"/>
                <w:kern w:val="0"/>
                <w:szCs w:val="21"/>
                <w:lang w:val="en-US" w:eastAsia="zh-CN"/>
              </w:rPr>
              <w:t>在第一信封开启</w:t>
            </w:r>
            <w:r>
              <w:rPr>
                <w:rFonts w:hint="eastAsia" w:ascii="Times New Roman" w:hAnsi="Times New Roman" w:eastAsia="黑体" w:cs="黑体"/>
                <w:bCs/>
                <w:snapToGrid w:val="0"/>
                <w:kern w:val="0"/>
                <w:szCs w:val="21"/>
              </w:rPr>
              <w:t>前不得开启</w:t>
            </w:r>
          </w:p>
        </w:tc>
      </w:tr>
      <w:tr>
        <w:tblPrEx>
          <w:tblCellMar>
            <w:top w:w="0" w:type="dxa"/>
            <w:left w:w="108" w:type="dxa"/>
            <w:bottom w:w="0" w:type="dxa"/>
            <w:right w:w="108" w:type="dxa"/>
          </w:tblCellMar>
        </w:tblPrEx>
        <w:trPr>
          <w:trHeight w:val="653"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5.2.1（3）</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启封公布的其他内容</w:t>
            </w:r>
          </w:p>
        </w:tc>
        <w:tc>
          <w:tcPr>
            <w:tcW w:w="5609"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宋体" w:cs="Times New Roman"/>
                <w:szCs w:val="21"/>
              </w:rPr>
            </w:pPr>
            <w:r>
              <w:rPr>
                <w:rFonts w:hint="eastAsia" w:ascii="Times New Roman" w:hAnsi="Times New Roman" w:eastAsia="宋体" w:cs="Times New Roman"/>
                <w:szCs w:val="21"/>
              </w:rPr>
              <w:t>无</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7.4.1</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履约保证金</w:t>
            </w:r>
          </w:p>
        </w:tc>
        <w:tc>
          <w:tcPr>
            <w:tcW w:w="5609"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（1）金额：</w:t>
            </w:r>
            <w:r>
              <w:rPr>
                <w:rFonts w:hint="eastAsia" w:ascii="宋体" w:hAnsi="宋体" w:eastAsia="宋体" w:cs="宋体"/>
                <w:kern w:val="2"/>
                <w:sz w:val="21"/>
                <w:szCs w:val="21"/>
                <w:highlight w:val="none"/>
                <w:u w:val="single"/>
                <w:lang w:val="en-US" w:eastAsia="zh-CN" w:bidi="ar-SA"/>
              </w:rPr>
              <w:t>本项目不收取</w:t>
            </w:r>
            <w:r>
              <w:rPr>
                <w:rFonts w:hint="eastAsia" w:ascii="宋体" w:hAnsi="宋体" w:eastAsia="宋体" w:cs="宋体"/>
                <w:kern w:val="2"/>
                <w:sz w:val="21"/>
                <w:szCs w:val="21"/>
                <w:highlight w:val="none"/>
                <w:lang w:val="en-US" w:eastAsia="zh-CN" w:bidi="ar-SA"/>
              </w:rPr>
              <w:t>。</w:t>
            </w:r>
          </w:p>
          <w:p>
            <w:pPr>
              <w:snapToGrid w:val="0"/>
              <w:spacing w:line="480" w:lineRule="exact"/>
              <w:rPr>
                <w:highlight w:val="none"/>
              </w:rPr>
            </w:pPr>
            <w:r>
              <w:rPr>
                <w:rFonts w:hint="eastAsia" w:ascii="宋体" w:hAnsi="宋体" w:eastAsia="宋体" w:cs="宋体"/>
                <w:kern w:val="2"/>
                <w:sz w:val="21"/>
                <w:szCs w:val="21"/>
                <w:highlight w:val="none"/>
                <w:lang w:val="en-US" w:eastAsia="zh-CN" w:bidi="ar-SA"/>
              </w:rPr>
              <w:t>（2）履约保证金退还时间：该项目履约验收完成后28天内。</w:t>
            </w:r>
          </w:p>
        </w:tc>
      </w:tr>
      <w:tr>
        <w:tblPrEx>
          <w:tblCellMar>
            <w:top w:w="0" w:type="dxa"/>
            <w:left w:w="108" w:type="dxa"/>
            <w:bottom w:w="0" w:type="dxa"/>
            <w:right w:w="108" w:type="dxa"/>
          </w:tblCellMar>
        </w:tblPrEx>
        <w:trPr>
          <w:trHeight w:val="567" w:hRule="atLeast"/>
        </w:trPr>
        <w:tc>
          <w:tcPr>
            <w:tcW w:w="918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Times New Roman" w:hAnsi="Times New Roman" w:eastAsia="宋体" w:cs="Times New Roman"/>
                <w:szCs w:val="21"/>
              </w:rPr>
            </w:pPr>
            <w:r>
              <w:rPr>
                <w:rFonts w:hint="eastAsia" w:ascii="Times New Roman" w:hAnsi="Times New Roman" w:eastAsia="宋体" w:cs="Times New Roman"/>
                <w:szCs w:val="21"/>
              </w:rPr>
              <w:t>9</w:t>
            </w:r>
            <w:r>
              <w:rPr>
                <w:rFonts w:ascii="Times New Roman" w:hAnsi="Times New Roman" w:eastAsia="宋体" w:cs="Times New Roman"/>
                <w:szCs w:val="21"/>
              </w:rPr>
              <w:t>需要补充的其他内容</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9.1</w:t>
            </w:r>
          </w:p>
        </w:tc>
        <w:tc>
          <w:tcPr>
            <w:tcW w:w="818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80" w:lineRule="exact"/>
              <w:ind w:firstLine="0" w:firstLineChars="0"/>
              <w:textAlignment w:val="auto"/>
              <w:rPr>
                <w:rFonts w:hint="eastAsia"/>
                <w:lang w:val="en-US" w:eastAsia="zh-CN"/>
              </w:rPr>
            </w:pPr>
            <w:r>
              <w:rPr>
                <w:rFonts w:hint="eastAsia"/>
                <w:lang w:val="en-US" w:eastAsia="zh-CN"/>
              </w:rPr>
              <w:t>投标人或其他利害关系人对评标结果有异议的，应以书面形式提出，异议材料应包括：</w:t>
            </w:r>
          </w:p>
          <w:p>
            <w:pPr>
              <w:keepNext w:val="0"/>
              <w:keepLines w:val="0"/>
              <w:pageBreakBefore w:val="0"/>
              <w:widowControl w:val="0"/>
              <w:kinsoku/>
              <w:wordWrap/>
              <w:overflowPunct/>
              <w:topLinePunct w:val="0"/>
              <w:autoSpaceDE/>
              <w:autoSpaceDN/>
              <w:bidi w:val="0"/>
              <w:adjustRightInd/>
              <w:snapToGrid w:val="0"/>
              <w:spacing w:line="480" w:lineRule="exact"/>
              <w:ind w:firstLine="0" w:firstLineChars="0"/>
              <w:textAlignment w:val="auto"/>
              <w:rPr>
                <w:rFonts w:hint="eastAsia"/>
                <w:lang w:val="en-US" w:eastAsia="zh-CN"/>
              </w:rPr>
            </w:pPr>
            <w:r>
              <w:rPr>
                <w:rFonts w:hint="eastAsia"/>
                <w:lang w:val="en-US" w:eastAsia="zh-CN"/>
              </w:rPr>
              <w:t>（1）异议人的名称、地址及有效联系方式；</w:t>
            </w:r>
          </w:p>
          <w:p>
            <w:pPr>
              <w:keepNext w:val="0"/>
              <w:keepLines w:val="0"/>
              <w:pageBreakBefore w:val="0"/>
              <w:widowControl w:val="0"/>
              <w:kinsoku/>
              <w:wordWrap/>
              <w:overflowPunct/>
              <w:topLinePunct w:val="0"/>
              <w:autoSpaceDE/>
              <w:autoSpaceDN/>
              <w:bidi w:val="0"/>
              <w:adjustRightInd/>
              <w:snapToGrid w:val="0"/>
              <w:spacing w:line="480" w:lineRule="exact"/>
              <w:ind w:firstLine="0" w:firstLineChars="0"/>
              <w:textAlignment w:val="auto"/>
              <w:rPr>
                <w:rFonts w:hint="eastAsia"/>
                <w:lang w:val="en-US" w:eastAsia="zh-CN"/>
              </w:rPr>
            </w:pPr>
            <w:r>
              <w:rPr>
                <w:rFonts w:hint="eastAsia"/>
                <w:lang w:val="en-US" w:eastAsia="zh-CN"/>
              </w:rPr>
              <w:t>（2）异议事项的基本事实；</w:t>
            </w:r>
          </w:p>
          <w:p>
            <w:pPr>
              <w:keepNext w:val="0"/>
              <w:keepLines w:val="0"/>
              <w:pageBreakBefore w:val="0"/>
              <w:widowControl w:val="0"/>
              <w:kinsoku/>
              <w:wordWrap/>
              <w:overflowPunct/>
              <w:topLinePunct w:val="0"/>
              <w:autoSpaceDE/>
              <w:autoSpaceDN/>
              <w:bidi w:val="0"/>
              <w:adjustRightInd/>
              <w:snapToGrid w:val="0"/>
              <w:spacing w:line="480" w:lineRule="exact"/>
              <w:ind w:firstLine="0" w:firstLineChars="0"/>
              <w:textAlignment w:val="auto"/>
              <w:rPr>
                <w:rFonts w:hint="eastAsia"/>
                <w:lang w:val="en-US" w:eastAsia="zh-CN"/>
              </w:rPr>
            </w:pPr>
            <w:r>
              <w:rPr>
                <w:rFonts w:hint="eastAsia"/>
                <w:lang w:val="en-US" w:eastAsia="zh-CN"/>
              </w:rPr>
              <w:t>（3）有效线索和相关证明材料。</w:t>
            </w:r>
          </w:p>
          <w:p>
            <w:pPr>
              <w:keepNext w:val="0"/>
              <w:keepLines w:val="0"/>
              <w:pageBreakBefore w:val="0"/>
              <w:widowControl w:val="0"/>
              <w:kinsoku/>
              <w:wordWrap/>
              <w:overflowPunct/>
              <w:topLinePunct w:val="0"/>
              <w:autoSpaceDE/>
              <w:autoSpaceDN/>
              <w:bidi w:val="0"/>
              <w:adjustRightInd/>
              <w:snapToGrid w:val="0"/>
              <w:spacing w:line="480" w:lineRule="exact"/>
              <w:ind w:firstLine="0" w:firstLineChars="0"/>
              <w:textAlignment w:val="auto"/>
              <w:rPr>
                <w:rFonts w:hint="eastAsia" w:ascii="Times New Roman" w:hAnsi="Times New Roman" w:eastAsia="宋体" w:cs="Times New Roman"/>
                <w:szCs w:val="21"/>
                <w:lang w:val="en-US" w:eastAsia="zh-CN"/>
              </w:rPr>
            </w:pPr>
            <w:r>
              <w:rPr>
                <w:rFonts w:hint="eastAsia"/>
                <w:lang w:val="en-US" w:eastAsia="zh-CN"/>
              </w:rPr>
              <w:t>异议人是法人的，异议材料必须由其法定代表人或者授权代表签字并盖章；其他组织或者个人提出异议的，异议材料必须由其主要负责人或者异议本人签字，并附有效身份证明复印件。</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9.2</w:t>
            </w:r>
          </w:p>
        </w:tc>
        <w:tc>
          <w:tcPr>
            <w:tcW w:w="818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hint="eastAsia"/>
                <w:lang w:val="en-US" w:eastAsia="zh-CN"/>
              </w:rPr>
            </w:pPr>
            <w:r>
              <w:rPr>
                <w:rFonts w:hint="eastAsia"/>
                <w:lang w:val="en-US" w:eastAsia="zh-CN"/>
              </w:rPr>
              <w:t>一、供应商根据自身企业的服务能力进行投标。</w:t>
            </w:r>
          </w:p>
          <w:p>
            <w:pPr>
              <w:snapToGrid w:val="0"/>
              <w:spacing w:line="480" w:lineRule="exact"/>
              <w:rPr>
                <w:rFonts w:hint="eastAsia"/>
                <w:lang w:val="en-US" w:eastAsia="zh-CN"/>
              </w:rPr>
            </w:pPr>
            <w:r>
              <w:rPr>
                <w:rFonts w:hint="eastAsia"/>
                <w:b/>
                <w:bCs/>
                <w:lang w:val="en-US" w:eastAsia="zh-CN"/>
              </w:rPr>
              <w:t>二、如在约定的服务期限内达不到采购人要求的技术标准和要求：</w:t>
            </w:r>
          </w:p>
          <w:p>
            <w:pPr>
              <w:snapToGrid w:val="0"/>
              <w:spacing w:line="480" w:lineRule="exact"/>
              <w:ind w:firstLine="420" w:firstLineChars="200"/>
              <w:rPr>
                <w:rFonts w:hint="eastAsia"/>
                <w:lang w:val="en-US" w:eastAsia="zh-CN"/>
              </w:rPr>
            </w:pPr>
            <w:r>
              <w:rPr>
                <w:rFonts w:hint="eastAsia"/>
                <w:lang w:val="en-US" w:eastAsia="zh-CN"/>
              </w:rPr>
              <w:t>1.采购人有权终止合同，并依据合同规定追究法律责任。</w:t>
            </w:r>
          </w:p>
          <w:p>
            <w:pPr>
              <w:snapToGrid w:val="0"/>
              <w:spacing w:line="480" w:lineRule="exact"/>
              <w:ind w:firstLine="420" w:firstLineChars="200"/>
              <w:rPr>
                <w:rFonts w:hint="eastAsia"/>
                <w:lang w:val="en-US" w:eastAsia="zh-CN"/>
              </w:rPr>
            </w:pPr>
            <w:r>
              <w:rPr>
                <w:rFonts w:hint="eastAsia"/>
                <w:lang w:val="en-US" w:eastAsia="zh-CN"/>
              </w:rPr>
              <w:t>2.采购人有权将违约行为有权按照约定进行处罚。</w:t>
            </w:r>
          </w:p>
          <w:p>
            <w:pPr>
              <w:snapToGrid w:val="0"/>
              <w:spacing w:line="480" w:lineRule="exact"/>
              <w:rPr>
                <w:rFonts w:hint="eastAsia" w:ascii="Times New Roman" w:hAnsi="Times New Roman" w:eastAsia="宋体" w:cs="Times New Roman"/>
                <w:szCs w:val="21"/>
                <w:lang w:val="en-US" w:eastAsia="zh-CN"/>
              </w:rPr>
            </w:pPr>
            <w:r>
              <w:rPr>
                <w:rFonts w:hint="eastAsia"/>
                <w:b/>
                <w:bCs/>
                <w:lang w:val="en-US" w:eastAsia="zh-CN"/>
              </w:rPr>
              <w:t>三、异常低价或不平衡报价，采购人有权做废标处理。</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9.3</w:t>
            </w:r>
          </w:p>
        </w:tc>
        <w:tc>
          <w:tcPr>
            <w:tcW w:w="818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default"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主要材料要求：</w:t>
            </w:r>
          </w:p>
          <w:p>
            <w:pPr>
              <w:keepNext w:val="0"/>
              <w:keepLines w:val="0"/>
              <w:widowControl/>
              <w:suppressLineNumbers w:val="0"/>
              <w:jc w:val="left"/>
              <w:rPr>
                <w:color w:val="auto"/>
              </w:rPr>
            </w:pPr>
            <w:r>
              <w:rPr>
                <w:rFonts w:hint="eastAsia" w:ascii="MS Gothic" w:hAnsi="MS Gothic" w:eastAsia="MS Gothic" w:cs="MS Gothic"/>
                <w:color w:val="auto"/>
                <w:kern w:val="0"/>
                <w:sz w:val="20"/>
                <w:szCs w:val="20"/>
                <w:lang w:val="en-US" w:eastAsia="zh-CN" w:bidi="ar"/>
              </w:rPr>
              <w:t>□</w:t>
            </w:r>
            <w:r>
              <w:rPr>
                <w:rFonts w:hint="eastAsia" w:ascii="宋体" w:hAnsi="宋体" w:eastAsia="宋体" w:cs="宋体"/>
                <w:b/>
                <w:bCs/>
                <w:color w:val="auto"/>
                <w:kern w:val="0"/>
                <w:sz w:val="20"/>
                <w:szCs w:val="20"/>
                <w:lang w:val="en-US" w:eastAsia="zh-CN" w:bidi="ar"/>
              </w:rPr>
              <w:t xml:space="preserve">主要材料甲供，其他材料由供应商自行采购 </w:t>
            </w:r>
          </w:p>
          <w:p>
            <w:pPr>
              <w:keepNext w:val="0"/>
              <w:keepLines w:val="0"/>
              <w:widowControl/>
              <w:suppressLineNumbers w:val="0"/>
              <w:jc w:val="left"/>
              <w:rPr>
                <w:color w:val="auto"/>
              </w:rPr>
            </w:pPr>
            <w:r>
              <w:rPr>
                <w:rFonts w:hint="eastAsia" w:ascii="宋体" w:hAnsi="宋体" w:eastAsia="宋体" w:cs="宋体"/>
                <w:color w:val="auto"/>
                <w:kern w:val="0"/>
                <w:sz w:val="20"/>
                <w:szCs w:val="20"/>
                <w:lang w:val="en-US" w:eastAsia="zh-CN" w:bidi="ar"/>
              </w:rPr>
              <w:t xml:space="preserve">其中甲供材料为： </w:t>
            </w:r>
            <w:r>
              <w:rPr>
                <w:rFonts w:hint="default" w:ascii="Times New Roman" w:hAnsi="Times New Roman" w:eastAsia="宋体" w:cs="Times New Roman"/>
                <w:color w:val="auto"/>
                <w:kern w:val="0"/>
                <w:sz w:val="20"/>
                <w:szCs w:val="20"/>
                <w:lang w:val="en-US" w:eastAsia="zh-CN" w:bidi="ar"/>
              </w:rPr>
              <w:t xml:space="preserve">/ </w:t>
            </w:r>
          </w:p>
          <w:p>
            <w:pPr>
              <w:keepNext w:val="0"/>
              <w:keepLines w:val="0"/>
              <w:widowControl/>
              <w:suppressLineNumbers w:val="0"/>
              <w:jc w:val="left"/>
              <w:rPr>
                <w:color w:val="auto"/>
              </w:rPr>
            </w:pPr>
            <w:r>
              <w:rPr>
                <w:rFonts w:hint="eastAsia" w:ascii="宋体" w:hAnsi="宋体" w:eastAsia="宋体" w:cs="宋体"/>
                <w:color w:val="auto"/>
                <w:kern w:val="0"/>
                <w:sz w:val="20"/>
                <w:szCs w:val="20"/>
                <w:lang w:val="en-US" w:eastAsia="zh-CN" w:bidi="ar"/>
              </w:rPr>
              <w:sym w:font="Wingdings 2" w:char="0052"/>
            </w:r>
            <w:r>
              <w:rPr>
                <w:rFonts w:hint="eastAsia" w:ascii="宋体" w:hAnsi="宋体" w:eastAsia="宋体" w:cs="宋体"/>
                <w:b/>
                <w:bCs/>
                <w:color w:val="auto"/>
                <w:kern w:val="0"/>
                <w:sz w:val="20"/>
                <w:szCs w:val="20"/>
                <w:lang w:val="en-US" w:eastAsia="zh-CN" w:bidi="ar"/>
              </w:rPr>
              <w:t>主要材料由供应商自行采购</w:t>
            </w:r>
          </w:p>
          <w:p>
            <w:pPr>
              <w:keepNext w:val="0"/>
              <w:keepLines w:val="0"/>
              <w:widowControl/>
              <w:suppressLineNumbers w:val="0"/>
              <w:jc w:val="left"/>
              <w:rPr>
                <w:color w:val="auto"/>
              </w:rPr>
            </w:pPr>
            <w:r>
              <w:rPr>
                <w:rFonts w:hint="eastAsia" w:ascii="MS Gothic" w:hAnsi="MS Gothic" w:eastAsia="MS Gothic" w:cs="MS Gothic"/>
                <w:color w:val="auto"/>
                <w:kern w:val="0"/>
                <w:sz w:val="20"/>
                <w:szCs w:val="20"/>
                <w:lang w:val="en-US" w:eastAsia="zh-CN" w:bidi="ar"/>
              </w:rPr>
              <w:sym w:font="Wingdings 2" w:char="0052"/>
            </w:r>
            <w:r>
              <w:rPr>
                <w:rFonts w:hint="eastAsia" w:ascii="宋体" w:hAnsi="宋体" w:eastAsia="宋体" w:cs="宋体"/>
                <w:b/>
                <w:bCs/>
                <w:color w:val="auto"/>
                <w:kern w:val="0"/>
                <w:sz w:val="20"/>
                <w:szCs w:val="20"/>
                <w:lang w:val="en-US" w:eastAsia="zh-CN" w:bidi="ar"/>
              </w:rPr>
              <w:t xml:space="preserve">本工程采用商品砼。 </w:t>
            </w:r>
          </w:p>
          <w:p>
            <w:pPr>
              <w:keepNext w:val="0"/>
              <w:keepLines w:val="0"/>
              <w:widowControl/>
              <w:suppressLineNumbers w:val="0"/>
              <w:jc w:val="left"/>
              <w:rPr>
                <w:color w:val="auto"/>
              </w:rPr>
            </w:pPr>
            <w:r>
              <w:rPr>
                <w:rFonts w:hint="eastAsia" w:ascii="MS Gothic" w:hAnsi="MS Gothic" w:eastAsia="MS Gothic" w:cs="MS Gothic"/>
                <w:color w:val="auto"/>
                <w:kern w:val="0"/>
                <w:sz w:val="20"/>
                <w:szCs w:val="20"/>
                <w:lang w:val="en-US" w:eastAsia="zh-CN" w:bidi="ar"/>
              </w:rPr>
              <w:sym w:font="Wingdings 2" w:char="0052"/>
            </w:r>
            <w:r>
              <w:rPr>
                <w:rFonts w:hint="eastAsia" w:ascii="宋体" w:hAnsi="宋体" w:eastAsia="宋体" w:cs="宋体"/>
                <w:b/>
                <w:bCs/>
                <w:color w:val="auto"/>
                <w:kern w:val="0"/>
                <w:sz w:val="20"/>
                <w:szCs w:val="20"/>
                <w:lang w:val="en-US" w:eastAsia="zh-CN" w:bidi="ar"/>
              </w:rPr>
              <w:t xml:space="preserve">本项目采用预拌砂浆。 </w:t>
            </w:r>
          </w:p>
          <w:p>
            <w:pPr>
              <w:keepNext w:val="0"/>
              <w:keepLines w:val="0"/>
              <w:widowControl/>
              <w:suppressLineNumbers w:val="0"/>
              <w:jc w:val="left"/>
              <w:rPr>
                <w:rFonts w:hint="eastAsia" w:ascii="Times New Roman" w:hAnsi="Times New Roman" w:eastAsia="宋体" w:cs="Times New Roman"/>
                <w:color w:val="auto"/>
                <w:szCs w:val="21"/>
                <w:lang w:val="en-US" w:eastAsia="zh-CN"/>
              </w:rPr>
            </w:pPr>
            <w:r>
              <w:rPr>
                <w:rFonts w:hint="eastAsia" w:ascii="宋体" w:hAnsi="宋体" w:eastAsia="宋体" w:cs="宋体"/>
                <w:b/>
                <w:bCs/>
                <w:color w:val="auto"/>
                <w:kern w:val="0"/>
                <w:sz w:val="20"/>
                <w:szCs w:val="20"/>
                <w:highlight w:val="green"/>
                <w:lang w:val="en-US" w:eastAsia="zh-CN" w:bidi="ar"/>
              </w:rPr>
              <w:t>如采购人对主要材料、设备的技术性能指标有特殊要求，应在“技术标准和要求”品牌推荐表中推荐不少于三个品牌。对于采购人推荐品牌的材料、设备，供应商只能选用推荐品牌。</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9.4</w:t>
            </w:r>
          </w:p>
        </w:tc>
        <w:tc>
          <w:tcPr>
            <w:tcW w:w="8181"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报价构成：</w:t>
            </w:r>
          </w:p>
          <w:p>
            <w:pPr>
              <w:spacing w:line="240" w:lineRule="auto"/>
              <w:rPr>
                <w:rFonts w:hint="eastAsia" w:ascii="Times New Roman" w:hAnsi="Times New Roman" w:eastAsia="宋体" w:cs="Times New Roman"/>
                <w:szCs w:val="21"/>
                <w:lang w:val="en-US" w:eastAsia="zh-CN"/>
              </w:rPr>
            </w:pPr>
            <w:r>
              <w:rPr>
                <w:rFonts w:hint="eastAsia" w:ascii="Times New Roman" w:hAnsi="Times New Roman" w:cs="Times New Roman"/>
                <w:color w:val="000000" w:themeColor="text1"/>
                <w:lang w:val="en-US" w:eastAsia="zh-CN"/>
                <w14:textFill>
                  <w14:solidFill>
                    <w14:schemeClr w14:val="tx1"/>
                  </w14:solidFill>
                </w14:textFill>
              </w:rPr>
              <w:t>详见工程量清单编制说明。</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9.5</w:t>
            </w:r>
          </w:p>
        </w:tc>
        <w:tc>
          <w:tcPr>
            <w:tcW w:w="8181"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ascii="Times New Roman" w:hAnsi="Times New Roman" w:cs="Times New Roman"/>
                <w:b/>
                <w:bCs/>
                <w:lang w:val="en-US" w:eastAsia="zh-CN"/>
              </w:rPr>
            </w:pPr>
            <w:r>
              <w:rPr>
                <w:rFonts w:hint="eastAsia" w:ascii="Times New Roman" w:hAnsi="Times New Roman" w:cs="Times New Roman"/>
                <w:b/>
                <w:bCs/>
                <w:lang w:val="en-US" w:eastAsia="zh-CN"/>
              </w:rPr>
              <w:t>工程量的偏差与不平衡报价的调整：</w:t>
            </w:r>
          </w:p>
          <w:p>
            <w:pPr>
              <w:spacing w:line="240" w:lineRule="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1.工程量的偏差：本招标工程量清单为暂定工程量，结算时以合同约定予以计量的实际发生工程量为准，不得以招标工程量与结算工程量的差异提出任何异议。</w:t>
            </w:r>
          </w:p>
          <w:p>
            <w:pPr>
              <w:spacing w:line="240" w:lineRule="auto"/>
              <w:rPr>
                <w:rFonts w:hint="default"/>
                <w:lang w:val="en-US" w:eastAsia="zh-CN"/>
              </w:rPr>
            </w:pPr>
            <w:r>
              <w:rPr>
                <w:rFonts w:hint="default" w:ascii="Times New Roman" w:hAnsi="Times New Roman" w:eastAsia="宋体" w:cs="Times New Roman"/>
                <w:color w:val="000000" w:themeColor="text1"/>
                <w:lang w:val="en-US" w:eastAsia="zh-CN"/>
                <w14:textFill>
                  <w14:solidFill>
                    <w14:schemeClr w14:val="tx1"/>
                  </w14:solidFill>
                </w14:textFill>
              </w:rPr>
              <w:t>2.视为异常高价的条件：当中标价的单项清单单价＞招标控制价单项清单单价*（1+15%）时，视为异常高价，结算时按招标控制价单项清单单价*（1+15%）作为结算单价。</w:t>
            </w:r>
          </w:p>
        </w:tc>
      </w:tr>
    </w:tbl>
    <w:p>
      <w:r>
        <w:rPr>
          <w:rFonts w:hint="eastAsia" w:ascii="Times New Roman" w:hAnsi="Times New Roman" w:cs="Times New Roman"/>
          <w:szCs w:val="21"/>
        </w:rPr>
        <w:t>注：供应商须知正文</w:t>
      </w:r>
      <w:r>
        <w:rPr>
          <w:rFonts w:ascii="Times New Roman" w:hAnsi="Times New Roman" w:cs="Times New Roman"/>
          <w:szCs w:val="21"/>
        </w:rPr>
        <w:t>与前附表</w:t>
      </w:r>
      <w:r>
        <w:rPr>
          <w:rFonts w:hint="eastAsia" w:ascii="Times New Roman" w:hAnsi="Times New Roman" w:cs="Times New Roman"/>
          <w:szCs w:val="21"/>
        </w:rPr>
        <w:t>内容</w:t>
      </w:r>
      <w:r>
        <w:rPr>
          <w:rFonts w:ascii="Times New Roman" w:hAnsi="Times New Roman" w:cs="Times New Roman"/>
          <w:szCs w:val="21"/>
        </w:rPr>
        <w:t>不一致</w:t>
      </w:r>
      <w:r>
        <w:rPr>
          <w:rFonts w:hint="eastAsia" w:ascii="Times New Roman" w:hAnsi="Times New Roman" w:cs="Times New Roman"/>
          <w:szCs w:val="21"/>
        </w:rPr>
        <w:t>时</w:t>
      </w:r>
      <w:r>
        <w:rPr>
          <w:rFonts w:ascii="Times New Roman" w:hAnsi="Times New Roman" w:cs="Times New Roman"/>
          <w:szCs w:val="21"/>
        </w:rPr>
        <w:t>，以供应商</w:t>
      </w:r>
      <w:r>
        <w:rPr>
          <w:rFonts w:hint="eastAsia" w:ascii="Times New Roman" w:hAnsi="Times New Roman" w:cs="Times New Roman"/>
          <w:szCs w:val="21"/>
        </w:rPr>
        <w:t>须知</w:t>
      </w:r>
      <w:r>
        <w:rPr>
          <w:rFonts w:ascii="Times New Roman" w:hAnsi="Times New Roman" w:cs="Times New Roman"/>
          <w:szCs w:val="21"/>
        </w:rPr>
        <w:t>前附表</w:t>
      </w:r>
      <w:r>
        <w:rPr>
          <w:rFonts w:hint="eastAsia" w:ascii="Times New Roman" w:hAnsi="Times New Roman" w:cs="Times New Roman"/>
          <w:szCs w:val="21"/>
        </w:rPr>
        <w:t>的</w:t>
      </w:r>
      <w:r>
        <w:rPr>
          <w:rFonts w:ascii="Times New Roman" w:hAnsi="Times New Roman" w:cs="Times New Roman"/>
          <w:szCs w:val="21"/>
        </w:rPr>
        <w:t>内容为准</w:t>
      </w:r>
      <w:r>
        <w:rPr>
          <w:rFonts w:hint="eastAsia" w:ascii="Times New Roman" w:hAnsi="Times New Roman" w:cs="Times New Roman"/>
          <w:szCs w:val="21"/>
        </w:rPr>
        <w:t>。</w:t>
      </w:r>
    </w:p>
    <w:p>
      <w:pPr>
        <w:rPr>
          <w:rFonts w:ascii="Times New Roman" w:hAnsi="Times New Roman" w:eastAsia="黑体" w:cs="Times New Roman"/>
          <w:bCs/>
          <w:sz w:val="24"/>
          <w:szCs w:val="32"/>
        </w:rPr>
      </w:pPr>
      <w:bookmarkStart w:id="49" w:name="_Toc14201207"/>
      <w:bookmarkStart w:id="50" w:name="_Toc9067720"/>
      <w:bookmarkStart w:id="51" w:name="_Toc26656938"/>
      <w:r>
        <w:rPr>
          <w:rFonts w:ascii="Times New Roman" w:hAnsi="Times New Roman" w:eastAsia="黑体" w:cs="Times New Roman"/>
          <w:bCs/>
          <w:sz w:val="24"/>
          <w:szCs w:val="32"/>
        </w:rPr>
        <w:br w:type="page"/>
      </w:r>
    </w:p>
    <w:p>
      <w:pPr>
        <w:pStyle w:val="6"/>
        <w:numPr>
          <w:ilvl w:val="0"/>
          <w:numId w:val="0"/>
        </w:numPr>
        <w:bidi w:val="0"/>
        <w:jc w:val="center"/>
        <w:rPr>
          <w:sz w:val="24"/>
          <w:szCs w:val="28"/>
        </w:rPr>
      </w:pPr>
      <w:r>
        <w:rPr>
          <w:rFonts w:hint="eastAsia"/>
          <w:sz w:val="24"/>
          <w:szCs w:val="28"/>
        </w:rPr>
        <w:t>附录1 资格审查条件（资质最低条件）</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72" w:type="dxa"/>
            <w:noWrap w:val="0"/>
            <w:vAlign w:val="center"/>
          </w:tcPr>
          <w:p>
            <w:pPr>
              <w:jc w:val="center"/>
              <w:rPr>
                <w:sz w:val="22"/>
                <w:szCs w:val="22"/>
                <w:highlight w:val="none"/>
              </w:rPr>
            </w:pPr>
            <w:r>
              <w:rPr>
                <w:rFonts w:hint="eastAsia"/>
                <w:sz w:val="22"/>
                <w:szCs w:val="22"/>
                <w:highlight w:val="none"/>
              </w:rPr>
              <w:t>企业资质等级要求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72" w:type="dxa"/>
            <w:noWrap w:val="0"/>
            <w:vAlign w:val="center"/>
          </w:tcPr>
          <w:p>
            <w:pPr>
              <w:jc w:val="center"/>
              <w:rPr>
                <w:rFonts w:hint="eastAsia"/>
                <w:sz w:val="22"/>
                <w:szCs w:val="22"/>
                <w:highlight w:val="none"/>
              </w:rPr>
            </w:pPr>
            <w:r>
              <w:rPr>
                <w:rFonts w:hint="eastAsia"/>
                <w:sz w:val="22"/>
                <w:szCs w:val="22"/>
                <w:highlight w:val="none"/>
              </w:rPr>
              <w:t>供应商须具备环保工程专业承包三级及以上资质，具备独立法人资格，持有有效的营业执照，持有建设行政主管部门颁发的有效的安全生产许可证。</w:t>
            </w:r>
          </w:p>
        </w:tc>
      </w:tr>
    </w:tbl>
    <w:p>
      <w:pPr>
        <w:pStyle w:val="6"/>
        <w:numPr>
          <w:ilvl w:val="0"/>
          <w:numId w:val="0"/>
        </w:numPr>
        <w:bidi w:val="0"/>
        <w:jc w:val="center"/>
        <w:rPr>
          <w:rFonts w:hint="eastAsia"/>
          <w:sz w:val="24"/>
          <w:szCs w:val="28"/>
        </w:rPr>
      </w:pPr>
      <w:r>
        <w:rPr>
          <w:rFonts w:hint="eastAsia"/>
          <w:sz w:val="24"/>
          <w:szCs w:val="28"/>
        </w:rPr>
        <w:t>附录2 资格审查条件（业绩最低要求）</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blHeader/>
          <w:jc w:val="center"/>
        </w:trPr>
        <w:tc>
          <w:tcPr>
            <w:tcW w:w="9072" w:type="dxa"/>
            <w:noWrap w:val="0"/>
            <w:vAlign w:val="center"/>
          </w:tcPr>
          <w:p>
            <w:pPr>
              <w:jc w:val="center"/>
              <w:rPr>
                <w:sz w:val="22"/>
                <w:szCs w:val="22"/>
                <w:highlight w:val="none"/>
              </w:rPr>
            </w:pPr>
            <w:r>
              <w:rPr>
                <w:rFonts w:hint="eastAsia"/>
                <w:sz w:val="22"/>
                <w:szCs w:val="22"/>
                <w:highlight w:val="none"/>
              </w:rPr>
              <w:t>业 绩 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72" w:type="dxa"/>
            <w:noWrap w:val="0"/>
            <w:vAlign w:val="center"/>
          </w:tcPr>
          <w:p>
            <w:pPr>
              <w:snapToGrid w:val="0"/>
              <w:jc w:val="center"/>
              <w:rPr>
                <w:rFonts w:hint="eastAsia" w:hAnsi="宋体" w:eastAsiaTheme="minorEastAsia"/>
                <w:sz w:val="22"/>
                <w:szCs w:val="22"/>
                <w:highlight w:val="none"/>
                <w:lang w:val="en-US" w:eastAsia="zh-CN"/>
              </w:rPr>
            </w:pPr>
            <w:r>
              <w:rPr>
                <w:rFonts w:hint="eastAsia"/>
                <w:lang w:val="en-US" w:eastAsia="zh-CN"/>
              </w:rPr>
              <w:t>无。</w:t>
            </w:r>
          </w:p>
        </w:tc>
      </w:tr>
    </w:tbl>
    <w:p>
      <w:pPr>
        <w:bidi w:val="0"/>
        <w:rPr>
          <w:rFonts w:hint="eastAsia"/>
          <w:lang w:val="en-US" w:eastAsia="zh-CN"/>
        </w:rPr>
      </w:pPr>
      <w:r>
        <w:rPr>
          <w:rFonts w:hint="eastAsia"/>
          <w:lang w:val="en-US" w:eastAsia="zh-CN"/>
        </w:rPr>
        <w:t>业绩证明材料要求如下，否则业绩不予认可。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①合同协议书复印件；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②若合同协议书中不能明确反映出询比文件所要求内容的（如合同金额、合同签订时间、工程内容等），则须提供业主单位（甲方）出具加盖公章的证明材料复印件；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黑体" w:eastAsia="黑体"/>
          <w:sz w:val="24"/>
          <w:szCs w:val="24"/>
          <w:highlight w:val="none"/>
        </w:rPr>
      </w:pPr>
      <w:r>
        <w:rPr>
          <w:rFonts w:hint="eastAsia"/>
          <w:lang w:val="en-US" w:eastAsia="zh-CN"/>
        </w:rPr>
        <w:t>③</w:t>
      </w:r>
      <w:r>
        <w:rPr>
          <w:rFonts w:hint="eastAsia"/>
        </w:rPr>
        <w:t>如近年来，</w:t>
      </w:r>
      <w:r>
        <w:rPr>
          <w:rFonts w:hint="eastAsia"/>
          <w:lang w:val="en-US" w:eastAsia="zh-CN"/>
        </w:rPr>
        <w:t>供应商</w:t>
      </w:r>
      <w:r>
        <w:rPr>
          <w:rFonts w:hint="eastAsia"/>
        </w:rPr>
        <w:t>法人机构发生合法变更或重组或法人名称变更时，应提供相关部门的合法批件扫描件或其他相关证明材料扫描件来证明其所</w:t>
      </w:r>
      <w:r>
        <w:rPr>
          <w:rFonts w:hint="eastAsia"/>
          <w:szCs w:val="21"/>
          <w:highlight w:val="none"/>
        </w:rPr>
        <w:t>附业绩的继承性。</w:t>
      </w:r>
    </w:p>
    <w:p>
      <w:pPr>
        <w:pStyle w:val="6"/>
        <w:numPr>
          <w:ilvl w:val="0"/>
          <w:numId w:val="0"/>
        </w:numPr>
        <w:bidi w:val="0"/>
        <w:jc w:val="center"/>
        <w:rPr>
          <w:rFonts w:hint="eastAsia"/>
          <w:sz w:val="24"/>
          <w:szCs w:val="28"/>
        </w:rPr>
      </w:pPr>
      <w:r>
        <w:rPr>
          <w:rFonts w:hint="eastAsia"/>
          <w:sz w:val="24"/>
          <w:szCs w:val="28"/>
        </w:rPr>
        <w:t>附录</w:t>
      </w:r>
      <w:r>
        <w:rPr>
          <w:rFonts w:hint="eastAsia"/>
          <w:sz w:val="24"/>
          <w:szCs w:val="28"/>
          <w:lang w:val="en-US" w:eastAsia="zh-CN"/>
        </w:rPr>
        <w:t xml:space="preserve">3 </w:t>
      </w:r>
      <w:r>
        <w:rPr>
          <w:rFonts w:hint="eastAsia"/>
          <w:sz w:val="24"/>
          <w:szCs w:val="28"/>
        </w:rPr>
        <w:t>资格审查条件（项目管理机构主要人员最低要求）</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blHeader/>
          <w:jc w:val="center"/>
        </w:trPr>
        <w:tc>
          <w:tcPr>
            <w:tcW w:w="9072" w:type="dxa"/>
            <w:noWrap w:val="0"/>
            <w:vAlign w:val="center"/>
          </w:tcPr>
          <w:p>
            <w:pPr>
              <w:jc w:val="center"/>
              <w:rPr>
                <w:sz w:val="22"/>
                <w:szCs w:val="22"/>
                <w:highlight w:val="none"/>
              </w:rPr>
            </w:pPr>
            <w:r>
              <w:rPr>
                <w:rFonts w:hint="eastAsia"/>
                <w:sz w:val="22"/>
                <w:szCs w:val="22"/>
                <w:highlight w:val="none"/>
              </w:rPr>
              <w:t>项目管理机构主要人员要求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9072"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lang w:eastAsia="zh-CN"/>
              </w:rPr>
            </w:pPr>
            <w:r>
              <w:rPr>
                <w:rFonts w:hint="eastAsia"/>
                <w:lang w:eastAsia="zh-CN"/>
              </w:rPr>
              <w:t>①项目施工负责人：</w:t>
            </w:r>
            <w:r>
              <w:rPr>
                <w:rFonts w:hint="eastAsia"/>
                <w:lang w:val="en-US" w:eastAsia="zh-CN"/>
              </w:rPr>
              <w:t>具备相关专业二级及以上注册建造师执业资格、具备省级住房和城乡建设主管部门颁发的有效的安全生产考核合格证书B证。</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lang w:eastAsia="zh-CN"/>
              </w:rPr>
            </w:pPr>
            <w:r>
              <w:rPr>
                <w:rFonts w:hint="eastAsia"/>
                <w:lang w:eastAsia="zh-CN"/>
              </w:rPr>
              <w:t>②技术负责人：具有工程类相关专业中级及以上职称证书。</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pPr>
            <w:r>
              <w:rPr>
                <w:rFonts w:hint="eastAsia"/>
              </w:rPr>
              <w:t>③</w:t>
            </w:r>
            <w:r>
              <w:rPr>
                <w:rFonts w:hint="eastAsia"/>
                <w:lang w:val="en-US" w:eastAsia="zh-CN"/>
              </w:rPr>
              <w:t>安全员：配备专职安全员。</w:t>
            </w:r>
            <w:bookmarkStart w:id="181" w:name="_GoBack"/>
            <w:bookmarkEnd w:id="181"/>
          </w:p>
        </w:tc>
      </w:tr>
    </w:tbl>
    <w:p>
      <w:pPr>
        <w:pStyle w:val="6"/>
        <w:numPr>
          <w:ilvl w:val="0"/>
          <w:numId w:val="0"/>
        </w:numPr>
        <w:bidi w:val="0"/>
        <w:jc w:val="center"/>
        <w:rPr>
          <w:rFonts w:hint="eastAsia"/>
          <w:sz w:val="24"/>
          <w:szCs w:val="28"/>
        </w:rPr>
      </w:pPr>
      <w:r>
        <w:rPr>
          <w:rFonts w:hint="eastAsia"/>
          <w:sz w:val="24"/>
          <w:szCs w:val="28"/>
        </w:rPr>
        <w:t>附录</w:t>
      </w:r>
      <w:r>
        <w:rPr>
          <w:rFonts w:hint="eastAsia"/>
          <w:sz w:val="24"/>
          <w:szCs w:val="28"/>
          <w:lang w:val="en-US" w:eastAsia="zh-CN"/>
        </w:rPr>
        <w:t xml:space="preserve">4 </w:t>
      </w:r>
      <w:r>
        <w:rPr>
          <w:rFonts w:hint="eastAsia"/>
          <w:sz w:val="24"/>
          <w:szCs w:val="28"/>
        </w:rPr>
        <w:t>资格审查条件（信誉最低要求）</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072" w:type="dxa"/>
            <w:noWrap w:val="0"/>
            <w:vAlign w:val="center"/>
          </w:tcPr>
          <w:p>
            <w:pPr>
              <w:jc w:val="center"/>
              <w:rPr>
                <w:sz w:val="22"/>
                <w:szCs w:val="22"/>
                <w:highlight w:val="none"/>
              </w:rPr>
            </w:pPr>
            <w:r>
              <w:rPr>
                <w:rFonts w:hint="eastAsia"/>
                <w:sz w:val="22"/>
                <w:szCs w:val="22"/>
                <w:highlight w:val="none"/>
              </w:rPr>
              <w:t>信 誉 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37" w:hRule="atLeast"/>
          <w:jc w:val="center"/>
        </w:trPr>
        <w:tc>
          <w:tcPr>
            <w:tcW w:w="9072"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Times New Roman" w:hAnsi="Times New Roman" w:cs="Times New Roman"/>
                <w:szCs w:val="22"/>
              </w:rPr>
            </w:pPr>
            <w:r>
              <w:rPr>
                <w:rFonts w:ascii="Times New Roman" w:hAnsi="Times New Roman" w:cs="Times New Roman"/>
                <w:szCs w:val="22"/>
                <w:highlight w:val="none"/>
              </w:rPr>
              <w:t>①</w:t>
            </w:r>
            <w:r>
              <w:rPr>
                <w:rFonts w:hint="eastAsia" w:ascii="Times New Roman" w:hAnsi="Times New Roman" w:cs="Times New Roman"/>
                <w:szCs w:val="22"/>
                <w:highlight w:val="none"/>
              </w:rPr>
              <w:t>未被责令停业，暂扣或吊销执照，或吊销资质证</w:t>
            </w:r>
            <w:r>
              <w:rPr>
                <w:rFonts w:hint="eastAsia" w:ascii="Times New Roman" w:hAnsi="Times New Roman" w:cs="Times New Roman"/>
                <w:szCs w:val="22"/>
              </w:rPr>
              <w:t>书；</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pPr>
            <w:r>
              <w:rPr>
                <w:rFonts w:hint="eastAsia" w:ascii="Times New Roman" w:hAnsi="Times New Roman" w:cs="Times New Roman"/>
                <w:szCs w:val="22"/>
              </w:rPr>
              <w:t>②未进入清算程序，或被宣告破产，或其他丧失履约能力的情形；</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Times New Roman" w:hAnsi="Times New Roman" w:cs="Times New Roman"/>
                <w:szCs w:val="22"/>
              </w:rPr>
            </w:pPr>
            <w:r>
              <w:rPr>
                <w:rFonts w:hint="eastAsia" w:ascii="Times New Roman" w:hAnsi="Times New Roman" w:cs="Times New Roman"/>
                <w:szCs w:val="22"/>
              </w:rPr>
              <w:t>③</w:t>
            </w:r>
            <w:r>
              <w:rPr>
                <w:rFonts w:ascii="Times New Roman" w:hAnsi="Times New Roman" w:cs="Times New Roman"/>
                <w:szCs w:val="22"/>
              </w:rPr>
              <w:t>在国家企业信用信息公示系统（http://www.gsxt.gov.cn）中</w:t>
            </w:r>
            <w:r>
              <w:rPr>
                <w:rFonts w:hint="eastAsia" w:ascii="Times New Roman" w:hAnsi="Times New Roman" w:cs="Times New Roman"/>
                <w:szCs w:val="22"/>
              </w:rPr>
              <w:t>未</w:t>
            </w:r>
            <w:r>
              <w:rPr>
                <w:rFonts w:ascii="Times New Roman" w:hAnsi="Times New Roman" w:cs="Times New Roman"/>
                <w:szCs w:val="22"/>
              </w:rPr>
              <w:t>被列入严重违法失信企业名单；</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Times New Roman" w:hAnsi="Times New Roman" w:cs="Times New Roman"/>
                <w:szCs w:val="22"/>
              </w:rPr>
            </w:pPr>
            <w:r>
              <w:rPr>
                <w:rFonts w:hint="eastAsia" w:ascii="Times New Roman" w:hAnsi="Times New Roman" w:cs="Times New Roman"/>
                <w:szCs w:val="22"/>
              </w:rPr>
              <w:t>④</w:t>
            </w:r>
            <w:r>
              <w:rPr>
                <w:rFonts w:ascii="Times New Roman" w:hAnsi="Times New Roman" w:cs="Times New Roman"/>
                <w:szCs w:val="22"/>
              </w:rPr>
              <w:t>在“信用中国”网站（http://www.creditchina.gov.cn）中</w:t>
            </w:r>
            <w:r>
              <w:rPr>
                <w:rFonts w:hint="eastAsia" w:ascii="Times New Roman" w:hAnsi="Times New Roman" w:cs="Times New Roman"/>
                <w:szCs w:val="22"/>
              </w:rPr>
              <w:t>未</w:t>
            </w:r>
            <w:r>
              <w:rPr>
                <w:rFonts w:ascii="Times New Roman" w:hAnsi="Times New Roman" w:cs="Times New Roman"/>
                <w:szCs w:val="22"/>
              </w:rPr>
              <w:t>被列入失信被执行人名单；</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Times New Roman" w:hAnsi="Times New Roman" w:cs="Times New Roman" w:eastAsiaTheme="minorEastAsia"/>
                <w:szCs w:val="22"/>
                <w:lang w:eastAsia="zh-CN"/>
              </w:rPr>
            </w:pPr>
            <w:r>
              <w:rPr>
                <w:rFonts w:hint="eastAsia" w:ascii="Times New Roman" w:hAnsi="Times New Roman" w:cs="Times New Roman"/>
                <w:szCs w:val="22"/>
              </w:rPr>
              <w:t>⑤</w:t>
            </w:r>
            <w:r>
              <w:rPr>
                <w:rFonts w:ascii="Times New Roman" w:hAnsi="Times New Roman" w:cs="Times New Roman"/>
                <w:szCs w:val="22"/>
              </w:rPr>
              <w:t>在近三年内（自</w:t>
            </w:r>
            <w:r>
              <w:rPr>
                <w:rFonts w:hint="eastAsia" w:ascii="Times New Roman" w:hAnsi="Times New Roman" w:cs="Times New Roman"/>
                <w:szCs w:val="22"/>
              </w:rPr>
              <w:t>响应文件递交截止之日</w:t>
            </w:r>
            <w:r>
              <w:rPr>
                <w:rFonts w:ascii="Times New Roman" w:hAnsi="Times New Roman" w:cs="Times New Roman"/>
                <w:szCs w:val="22"/>
              </w:rPr>
              <w:t>向前追溯3年）供应商或其法定代表人、拟委任的项目经理</w:t>
            </w:r>
            <w:r>
              <w:rPr>
                <w:rFonts w:hint="eastAsia" w:ascii="Times New Roman" w:hAnsi="Times New Roman" w:cs="Times New Roman"/>
                <w:szCs w:val="22"/>
                <w:lang w:eastAsia="zh-CN"/>
              </w:rPr>
              <w:t>（</w:t>
            </w:r>
            <w:r>
              <w:rPr>
                <w:rFonts w:hint="eastAsia" w:ascii="Times New Roman" w:hAnsi="Times New Roman" w:cs="Times New Roman"/>
                <w:szCs w:val="22"/>
                <w:lang w:val="en-US" w:eastAsia="zh-CN"/>
              </w:rPr>
              <w:t>如有</w:t>
            </w:r>
            <w:r>
              <w:rPr>
                <w:rFonts w:hint="eastAsia" w:ascii="Times New Roman" w:hAnsi="Times New Roman" w:cs="Times New Roman"/>
                <w:szCs w:val="22"/>
                <w:lang w:eastAsia="zh-CN"/>
              </w:rPr>
              <w:t>）</w:t>
            </w:r>
            <w:r>
              <w:rPr>
                <w:rFonts w:hint="eastAsia" w:ascii="Times New Roman" w:hAnsi="Times New Roman" w:cs="Times New Roman"/>
                <w:szCs w:val="22"/>
              </w:rPr>
              <w:t>未</w:t>
            </w:r>
            <w:r>
              <w:rPr>
                <w:rFonts w:ascii="Times New Roman" w:hAnsi="Times New Roman" w:cs="Times New Roman"/>
                <w:szCs w:val="22"/>
              </w:rPr>
              <w:t>有行贿犯罪行为</w:t>
            </w:r>
            <w:r>
              <w:rPr>
                <w:rFonts w:hint="eastAsia" w:ascii="Times New Roman" w:hAnsi="Times New Roman" w:cs="Times New Roman"/>
                <w:szCs w:val="22"/>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pPr>
            <w:r>
              <w:rPr>
                <w:rFonts w:hint="eastAsia" w:ascii="Times New Roman" w:hAnsi="Times New Roman"/>
              </w:rPr>
              <w:t>⑥其他要求：</w:t>
            </w:r>
            <w:r>
              <w:rPr>
                <w:rFonts w:hint="eastAsia" w:ascii="Times New Roman" w:hAnsi="Times New Roman"/>
                <w:u w:val="single"/>
                <w:lang w:val="en-US" w:eastAsia="zh-CN"/>
              </w:rPr>
              <w:t>在近三年内（自响应文件递交截止之日向前追溯3年）供应商与采购人未发生诉讼关系</w:t>
            </w:r>
            <w:r>
              <w:rPr>
                <w:rFonts w:hint="eastAsia" w:ascii="Times New Roman" w:hAnsi="Times New Roman"/>
              </w:rPr>
              <w:t>。</w:t>
            </w:r>
          </w:p>
        </w:tc>
      </w:tr>
    </w:tbl>
    <w:p>
      <w:pPr>
        <w:pStyle w:val="11"/>
        <w:rPr>
          <w:rFonts w:ascii="Times New Roman" w:hAnsi="Times New Roman" w:eastAsia="黑体" w:cs="Times New Roman"/>
          <w:bCs/>
          <w:sz w:val="24"/>
          <w:szCs w:val="32"/>
        </w:rPr>
      </w:pPr>
    </w:p>
    <w:p>
      <w:pPr>
        <w:keepNext/>
        <w:keepLines/>
        <w:spacing w:before="156" w:beforeLines="50" w:after="156" w:afterLines="50" w:line="360" w:lineRule="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总则</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1.1 质量要求</w:t>
      </w:r>
    </w:p>
    <w:p>
      <w:pPr>
        <w:spacing w:line="440" w:lineRule="exact"/>
        <w:ind w:firstLine="420"/>
        <w:rPr>
          <w:rFonts w:ascii="Times New Roman" w:hAnsi="Times New Roman" w:cs="Times New Roman"/>
          <w:szCs w:val="21"/>
        </w:rPr>
      </w:pPr>
      <w:r>
        <w:rPr>
          <w:rFonts w:ascii="Times New Roman" w:hAnsi="Times New Roman" w:cs="Times New Roman"/>
          <w:szCs w:val="21"/>
        </w:rPr>
        <w:t>本合同包的质量要求：</w:t>
      </w:r>
      <w:r>
        <w:rPr>
          <w:rFonts w:hint="eastAsia" w:ascii="Times New Roman" w:hAnsi="Times New Roman" w:cs="Times New Roman"/>
          <w:szCs w:val="21"/>
        </w:rPr>
        <w:t>见供应商须知前附表。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 xml:space="preserve"> 供应商资格要求</w:t>
      </w:r>
    </w:p>
    <w:p>
      <w:pPr>
        <w:spacing w:line="440" w:lineRule="exact"/>
        <w:ind w:firstLine="420"/>
        <w:rPr>
          <w:rFonts w:ascii="Times New Roman" w:hAnsi="Times New Roman" w:cs="Times New Roman"/>
          <w:szCs w:val="21"/>
          <w:highlight w:val="none"/>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w:t>
      </w:r>
      <w:r>
        <w:rPr>
          <w:rFonts w:hint="eastAsia" w:ascii="Times New Roman" w:hAnsi="Times New Roman" w:cs="Times New Roman"/>
          <w:szCs w:val="21"/>
        </w:rPr>
        <w:t xml:space="preserve"> </w:t>
      </w:r>
      <w:r>
        <w:rPr>
          <w:rFonts w:ascii="Times New Roman" w:hAnsi="Times New Roman" w:cs="Times New Roman"/>
          <w:szCs w:val="21"/>
        </w:rPr>
        <w:t>供应商应具备承担本合同包</w:t>
      </w:r>
      <w:r>
        <w:rPr>
          <w:rFonts w:hint="eastAsia" w:ascii="Times New Roman" w:hAnsi="Times New Roman" w:cs="Times New Roman"/>
          <w:szCs w:val="21"/>
          <w:highlight w:val="none"/>
          <w:lang w:val="en-US" w:eastAsia="zh-CN"/>
        </w:rPr>
        <w:t>供货</w:t>
      </w:r>
      <w:r>
        <w:rPr>
          <w:rFonts w:ascii="Times New Roman" w:hAnsi="Times New Roman" w:cs="Times New Roman"/>
          <w:szCs w:val="21"/>
          <w:highlight w:val="none"/>
        </w:rPr>
        <w:t xml:space="preserve">的资质条件、能力和信誉：见第一章 </w:t>
      </w:r>
      <w:r>
        <w:rPr>
          <w:rFonts w:hint="eastAsia" w:ascii="Times New Roman" w:hAnsi="Times New Roman" w:cs="Times New Roman"/>
          <w:szCs w:val="21"/>
          <w:highlight w:val="none"/>
        </w:rPr>
        <w:t>采购公告</w:t>
      </w:r>
      <w:r>
        <w:rPr>
          <w:rFonts w:ascii="Times New Roman" w:hAnsi="Times New Roman" w:cs="Times New Roman"/>
          <w:szCs w:val="21"/>
          <w:highlight w:val="none"/>
        </w:rPr>
        <w:t>/</w:t>
      </w:r>
      <w:r>
        <w:rPr>
          <w:rFonts w:hint="eastAsia" w:ascii="Times New Roman" w:hAnsi="Times New Roman" w:cs="Times New Roman"/>
          <w:szCs w:val="21"/>
          <w:highlight w:val="none"/>
        </w:rPr>
        <w:t>采购邀请书第3.1款要求</w:t>
      </w:r>
      <w:r>
        <w:rPr>
          <w:rFonts w:ascii="Times New Roman" w:hAnsi="Times New Roman" w:cs="Times New Roman"/>
          <w:szCs w:val="21"/>
          <w:highlight w:val="none"/>
        </w:rPr>
        <w:t>。</w:t>
      </w:r>
    </w:p>
    <w:p>
      <w:pPr>
        <w:spacing w:line="440" w:lineRule="exact"/>
        <w:ind w:firstLine="42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 xml:space="preserve"> 其他</w:t>
      </w:r>
      <w:r>
        <w:rPr>
          <w:rFonts w:hint="eastAsia" w:ascii="Times New Roman" w:hAnsi="Times New Roman" w:cs="Times New Roman"/>
          <w:szCs w:val="21"/>
        </w:rPr>
        <w:t>要求：见供应商须知前附表</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 xml:space="preserve"> 费用承担</w:t>
      </w:r>
    </w:p>
    <w:p>
      <w:pPr>
        <w:spacing w:line="440" w:lineRule="exact"/>
        <w:ind w:firstLine="420"/>
        <w:rPr>
          <w:rFonts w:hint="eastAsia" w:ascii="Times New Roman" w:hAnsi="Times New Roman" w:cs="Times New Roman"/>
          <w:szCs w:val="21"/>
        </w:rPr>
      </w:pPr>
      <w:r>
        <w:rPr>
          <w:rFonts w:hint="eastAsia" w:ascii="Times New Roman" w:hAnsi="Times New Roman" w:cs="Times New Roman"/>
          <w:szCs w:val="21"/>
        </w:rPr>
        <w:t>供应商准备和参加询比活动发生的费用自理。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 xml:space="preserve"> 保密</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 xml:space="preserve"> 计量单位</w:t>
      </w:r>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 xml:space="preserve"> 踏勘现场</w:t>
      </w:r>
    </w:p>
    <w:p>
      <w:pPr>
        <w:spacing w:line="440" w:lineRule="exact"/>
        <w:ind w:firstLine="420"/>
        <w:rPr>
          <w:rFonts w:ascii="Times New Roman" w:hAnsi="Times New Roman" w:cs="Times New Roman"/>
          <w:szCs w:val="21"/>
        </w:rPr>
      </w:pPr>
      <w:r>
        <w:rPr>
          <w:rFonts w:hint="eastAsia" w:ascii="Times New Roman" w:hAnsi="Times New Roman" w:cs="Times New Roman"/>
          <w:szCs w:val="21"/>
        </w:rPr>
        <w:t>见供应商须知前附表</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 xml:space="preserve"> 分包</w:t>
      </w:r>
    </w:p>
    <w:p>
      <w:pPr>
        <w:spacing w:line="440" w:lineRule="exact"/>
        <w:ind w:firstLine="420"/>
        <w:rPr>
          <w:rFonts w:ascii="Times New Roman" w:hAnsi="Times New Roman" w:cs="Times New Roman"/>
        </w:rPr>
      </w:pPr>
      <w:r>
        <w:rPr>
          <w:rFonts w:hint="eastAsia" w:ascii="Times New Roman" w:hAnsi="Times New Roman" w:cs="Times New Roman"/>
        </w:rPr>
        <w:t>不允许分包。</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 xml:space="preserve"> 偏</w:t>
      </w:r>
      <w:r>
        <w:rPr>
          <w:rFonts w:hint="eastAsia"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w:t>
      </w:r>
      <w:r>
        <w:rPr>
          <w:rFonts w:hint="eastAsia" w:ascii="Times New Roman" w:hAnsi="Times New Roman" w:cs="Times New Roman"/>
        </w:rPr>
        <w:t xml:space="preserve"> </w:t>
      </w:r>
      <w:r>
        <w:rPr>
          <w:rFonts w:ascii="Times New Roman" w:hAnsi="Times New Roman" w:cs="Times New Roman"/>
        </w:rPr>
        <w:t>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响应文件存在第三章“评审办法”中所列任一否决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询比文件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询比文件的组成</w:t>
      </w:r>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w:t>
      </w:r>
      <w:r>
        <w:rPr>
          <w:rFonts w:ascii="Times New Roman" w:hAnsi="Times New Roman" w:cs="Times New Roman"/>
          <w:highlight w:val="none"/>
        </w:rPr>
        <w:t>）</w:t>
      </w:r>
      <w:r>
        <w:rPr>
          <w:rFonts w:hint="eastAsia" w:ascii="Times New Roman" w:hAnsi="Times New Roman" w:cs="Times New Roman"/>
          <w:highlight w:val="none"/>
        </w:rPr>
        <w:t>采购公告</w:t>
      </w:r>
      <w:r>
        <w:rPr>
          <w:rFonts w:ascii="Times New Roman" w:hAnsi="Times New Roman" w:cs="Times New Roman"/>
          <w:highlight w:val="none"/>
        </w:rPr>
        <w:t>/</w:t>
      </w:r>
      <w:r>
        <w:rPr>
          <w:rFonts w:hint="eastAsia" w:ascii="Times New Roman" w:hAnsi="Times New Roman" w:cs="Times New Roman"/>
          <w:highlight w:val="none"/>
        </w:rPr>
        <w:t>采购邀请书</w:t>
      </w:r>
      <w:r>
        <w:rPr>
          <w:rFonts w:ascii="Times New Roman" w:hAnsi="Times New Roman" w:cs="Times New Roman"/>
          <w:highlight w:val="none"/>
        </w:rPr>
        <w:t>；</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hint="eastAsia" w:ascii="Times New Roman" w:hAnsi="Times New Roman" w:eastAsia="宋体" w:cs="Times New Roman"/>
          <w:lang w:eastAsia="zh-CN"/>
        </w:rPr>
      </w:pPr>
      <w:r>
        <w:rPr>
          <w:rFonts w:ascii="Times New Roman" w:hAnsi="Times New Roman" w:cs="Times New Roman"/>
        </w:rPr>
        <w:t>（4）合同内容</w:t>
      </w:r>
      <w:r>
        <w:rPr>
          <w:rFonts w:hint="eastAsia" w:ascii="Times New Roman" w:hAnsi="Times New Roman" w:eastAsia="宋体" w:cs="Times New Roman"/>
          <w:lang w:eastAsia="zh-CN"/>
        </w:rPr>
        <w:t>；</w:t>
      </w:r>
    </w:p>
    <w:p>
      <w:pPr>
        <w:spacing w:line="440" w:lineRule="exact"/>
        <w:ind w:firstLine="420"/>
        <w:rPr>
          <w:rFonts w:ascii="Times New Roman" w:hAnsi="Times New Roman"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5</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工程量清单</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6</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图纸</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w:t>
      </w:r>
      <w:r>
        <w:rPr>
          <w:rFonts w:hint="eastAsia" w:ascii="Times New Roman" w:hAnsi="Times New Roman" w:cs="Times New Roman"/>
          <w:lang w:val="en-US" w:eastAsia="zh-CN"/>
        </w:rPr>
        <w:t>7</w:t>
      </w:r>
      <w:r>
        <w:rPr>
          <w:rFonts w:ascii="Times New Roman" w:hAnsi="Times New Roman" w:cs="Times New Roman"/>
        </w:rPr>
        <w:t>）</w:t>
      </w:r>
      <w:r>
        <w:rPr>
          <w:rFonts w:hint="eastAsia" w:ascii="Times New Roman" w:hAnsi="Times New Roman" w:cs="Times New Roman"/>
        </w:rPr>
        <w:t>技术标准和要求</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w:t>
      </w:r>
      <w:r>
        <w:rPr>
          <w:rFonts w:hint="eastAsia" w:ascii="Times New Roman" w:hAnsi="Times New Roman" w:cs="Times New Roman"/>
          <w:lang w:val="en-US" w:eastAsia="zh-CN"/>
        </w:rPr>
        <w:t>8</w:t>
      </w:r>
      <w:r>
        <w:rPr>
          <w:rFonts w:ascii="Times New Roman" w:hAnsi="Times New Roman" w:cs="Times New Roman"/>
        </w:rPr>
        <w:t>）响应文件格式</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询比文件的澄清</w:t>
      </w:r>
      <w:r>
        <w:rPr>
          <w:rFonts w:hint="eastAsia" w:ascii="Times New Roman" w:hAnsi="Times New Roman" w:eastAsia="黑体" w:cs="Times New Roman"/>
          <w:bCs/>
          <w:sz w:val="24"/>
          <w:szCs w:val="32"/>
        </w:rPr>
        <w:t>与修改</w:t>
      </w:r>
    </w:p>
    <w:p>
      <w:pPr>
        <w:spacing w:line="440" w:lineRule="exact"/>
        <w:ind w:firstLine="420"/>
        <w:rPr>
          <w:rFonts w:hint="eastAsia" w:ascii="Times New Roman" w:hAnsi="Times New Roman" w:cs="Times New Roman"/>
          <w:color w:val="auto"/>
        </w:rPr>
      </w:pPr>
      <w:r>
        <w:rPr>
          <w:rFonts w:hint="eastAsia" w:ascii="Times New Roman" w:hAnsi="Times New Roman" w:cs="Times New Roman"/>
          <w:color w:val="auto"/>
        </w:rPr>
        <w:t>2.2.1 供应商如有疑问，应在递交响应文件的截止时间前3日前通过公告中的联系方式联系采购人对询比文件予以澄清或修改。</w:t>
      </w:r>
    </w:p>
    <w:p>
      <w:pPr>
        <w:spacing w:line="440" w:lineRule="exact"/>
        <w:ind w:firstLine="420"/>
        <w:rPr>
          <w:rFonts w:ascii="Times New Roman" w:hAnsi="Times New Roman" w:cs="Times New Roman"/>
          <w:color w:val="auto"/>
        </w:rPr>
      </w:pPr>
      <w:r>
        <w:rPr>
          <w:rFonts w:hint="eastAsia" w:ascii="Times New Roman" w:hAnsi="Times New Roman" w:cs="Times New Roman"/>
          <w:color w:val="auto"/>
        </w:rPr>
        <w:t>2.2.2 除非采购人认为确有必要答复，否则，采购人有权拒绝回复供应商在本章第2.2.1项规定的时间后提出的任何澄清或修改要求。</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响应文件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3.1响应文件的组成</w:t>
      </w:r>
    </w:p>
    <w:p>
      <w:pPr>
        <w:spacing w:line="440" w:lineRule="exact"/>
        <w:ind w:firstLine="420"/>
        <w:rPr>
          <w:rFonts w:ascii="Times New Roman" w:hAnsi="Times New Roman" w:cs="Times New Roman"/>
        </w:rPr>
      </w:pPr>
      <w:r>
        <w:rPr>
          <w:rFonts w:ascii="Times New Roman" w:hAnsi="Times New Roman" w:cs="Times New Roman"/>
        </w:rPr>
        <w:t>响应文件应包括下列内容：</w:t>
      </w:r>
    </w:p>
    <w:p>
      <w:pPr>
        <w:spacing w:line="440" w:lineRule="exact"/>
        <w:ind w:firstLine="420"/>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商务技术文件应包括下列内容：</w:t>
      </w:r>
    </w:p>
    <w:p>
      <w:pPr>
        <w:numPr>
          <w:ilvl w:val="0"/>
          <w:numId w:val="3"/>
        </w:numPr>
        <w:spacing w:line="440" w:lineRule="exact"/>
        <w:ind w:firstLine="420"/>
        <w:rPr>
          <w:rFonts w:hint="eastAsia" w:ascii="宋体" w:hAnsi="宋体" w:eastAsia="宋体" w:cs="宋体"/>
          <w:highlight w:val="none"/>
          <w:lang w:val="en-US" w:eastAsia="zh-CN"/>
        </w:rPr>
      </w:pPr>
      <w:r>
        <w:rPr>
          <w:rFonts w:hint="eastAsia" w:ascii="宋体" w:hAnsi="宋体" w:eastAsia="宋体" w:cs="宋体"/>
          <w:highlight w:val="none"/>
          <w:lang w:val="en-US" w:eastAsia="zh-CN"/>
        </w:rPr>
        <w:t>响应函；</w:t>
      </w:r>
    </w:p>
    <w:p>
      <w:pPr>
        <w:numPr>
          <w:ilvl w:val="0"/>
          <w:numId w:val="3"/>
        </w:numPr>
        <w:spacing w:line="440" w:lineRule="exact"/>
        <w:ind w:firstLine="420"/>
        <w:rPr>
          <w:rFonts w:hint="eastAsia" w:ascii="宋体" w:hAnsi="宋体" w:eastAsia="宋体" w:cs="宋体"/>
          <w:highlight w:val="none"/>
        </w:rPr>
      </w:pPr>
      <w:r>
        <w:rPr>
          <w:rFonts w:hint="eastAsia" w:ascii="宋体" w:hAnsi="宋体" w:eastAsia="宋体" w:cs="宋体"/>
          <w:highlight w:val="none"/>
        </w:rPr>
        <w:t>法定代表人身份证明及授权委托书；</w:t>
      </w:r>
    </w:p>
    <w:p>
      <w:pPr>
        <w:spacing w:line="440" w:lineRule="exact"/>
        <w:ind w:firstLine="42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3</w:t>
      </w:r>
      <w:r>
        <w:rPr>
          <w:rFonts w:hint="eastAsia" w:ascii="宋体" w:hAnsi="宋体" w:eastAsia="宋体" w:cs="宋体"/>
          <w:highlight w:val="none"/>
        </w:rPr>
        <w:t>）供应商基本情况；</w:t>
      </w:r>
    </w:p>
    <w:p>
      <w:pPr>
        <w:spacing w:line="440" w:lineRule="exact"/>
        <w:ind w:firstLine="42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4</w:t>
      </w:r>
      <w:r>
        <w:rPr>
          <w:rFonts w:hint="eastAsia" w:ascii="宋体" w:hAnsi="宋体" w:eastAsia="宋体" w:cs="宋体"/>
          <w:highlight w:val="none"/>
        </w:rPr>
        <w:t>）近年类似业绩情况；</w:t>
      </w:r>
    </w:p>
    <w:p>
      <w:pPr>
        <w:spacing w:line="440" w:lineRule="exact"/>
        <w:ind w:firstLine="42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5</w:t>
      </w:r>
      <w:r>
        <w:rPr>
          <w:rFonts w:hint="eastAsia" w:ascii="宋体" w:hAnsi="宋体" w:eastAsia="宋体" w:cs="宋体"/>
          <w:highlight w:val="none"/>
        </w:rPr>
        <w:t>）信誉情况；</w:t>
      </w:r>
    </w:p>
    <w:p>
      <w:pPr>
        <w:spacing w:line="440" w:lineRule="exact"/>
        <w:ind w:firstLine="42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6</w:t>
      </w:r>
      <w:r>
        <w:rPr>
          <w:rFonts w:hint="eastAsia" w:ascii="宋体" w:hAnsi="宋体" w:eastAsia="宋体" w:cs="宋体"/>
          <w:highlight w:val="none"/>
        </w:rPr>
        <w:t>）</w:t>
      </w:r>
      <w:r>
        <w:rPr>
          <w:rFonts w:hint="eastAsia" w:ascii="宋体" w:hAnsi="宋体" w:eastAsia="宋体" w:cs="宋体"/>
          <w:highlight w:val="none"/>
          <w:lang w:val="en-US" w:eastAsia="zh-CN"/>
        </w:rPr>
        <w:t>施工组织设计</w:t>
      </w:r>
      <w:r>
        <w:rPr>
          <w:rFonts w:hint="eastAsia" w:ascii="宋体" w:hAnsi="宋体" w:eastAsia="宋体" w:cs="宋体"/>
          <w:highlight w:val="none"/>
        </w:rPr>
        <w:t>；</w:t>
      </w:r>
    </w:p>
    <w:p>
      <w:pPr>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7</w:t>
      </w:r>
      <w:r>
        <w:rPr>
          <w:rFonts w:hint="eastAsia" w:ascii="宋体" w:hAnsi="宋体" w:eastAsia="宋体" w:cs="宋体"/>
          <w:highlight w:val="none"/>
        </w:rPr>
        <w:t>）其他材料。</w:t>
      </w:r>
    </w:p>
    <w:p>
      <w:pPr>
        <w:spacing w:line="440" w:lineRule="exact"/>
        <w:ind w:firstLine="420"/>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报价文件包括以下内容：</w:t>
      </w:r>
    </w:p>
    <w:p>
      <w:pPr>
        <w:spacing w:line="440" w:lineRule="exact"/>
        <w:ind w:firstLine="42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报价函</w:t>
      </w:r>
      <w:r>
        <w:rPr>
          <w:rFonts w:hint="eastAsia" w:ascii="宋体" w:hAnsi="宋体" w:eastAsia="宋体" w:cs="宋体"/>
          <w:highlight w:val="none"/>
        </w:rPr>
        <w:t>；</w:t>
      </w:r>
    </w:p>
    <w:p>
      <w:pPr>
        <w:spacing w:line="440" w:lineRule="exact"/>
        <w:ind w:firstLine="42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val="en-US" w:eastAsia="zh-CN"/>
        </w:rPr>
        <w:t>已标价的工程量清单</w:t>
      </w:r>
      <w:r>
        <w:rPr>
          <w:rFonts w:hint="eastAsia" w:ascii="宋体" w:hAnsi="宋体" w:eastAsia="宋体" w:cs="宋体"/>
          <w:highlight w:val="none"/>
        </w:rPr>
        <w:t>；</w:t>
      </w:r>
    </w:p>
    <w:p>
      <w:pPr>
        <w:spacing w:line="440" w:lineRule="exact"/>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rPr>
        <w:t>（3）</w:t>
      </w:r>
      <w:r>
        <w:rPr>
          <w:rFonts w:hint="eastAsia" w:ascii="宋体" w:hAnsi="宋体" w:eastAsia="宋体" w:cs="宋体"/>
          <w:highlight w:val="none"/>
          <w:lang w:val="en-US" w:eastAsia="zh-CN"/>
        </w:rPr>
        <w:t>响应报价需要说明的其他资料。</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3.2 报价要求 </w:t>
      </w:r>
    </w:p>
    <w:p>
      <w:pPr>
        <w:spacing w:line="440" w:lineRule="exact"/>
        <w:ind w:firstLine="420"/>
        <w:rPr>
          <w:rFonts w:ascii="Times New Roman" w:hAnsi="Times New Roman" w:cs="Times New Roman"/>
        </w:rPr>
      </w:pPr>
      <w:r>
        <w:rPr>
          <w:rFonts w:ascii="Times New Roman" w:hAnsi="Times New Roman" w:cs="Times New Roman"/>
        </w:rPr>
        <w:t>3.2.1 报价应包括国家规定的增值税税金。</w:t>
      </w:r>
    </w:p>
    <w:p>
      <w:pPr>
        <w:spacing w:line="440" w:lineRule="exact"/>
        <w:ind w:firstLine="420"/>
        <w:rPr>
          <w:rFonts w:hint="default" w:ascii="Times New Roman" w:hAnsi="Times New Roman" w:cs="Times New Roman" w:eastAsiaTheme="minorEastAsia"/>
          <w:lang w:val="en-US" w:eastAsia="zh-C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供应商应按第六章“响应文件格式”的要求在报价函中进行报价并填写工程量清单相应表格</w:t>
      </w:r>
      <w:r>
        <w:rPr>
          <w:rFonts w:hint="eastAsia" w:ascii="Times New Roman" w:hAnsi="Times New Roman" w:cs="Times New Roman"/>
          <w:lang w:val="en-US" w:eastAsia="zh-C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 xml:space="preserve"> 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rPr>
        <w:t>第2.</w:t>
      </w:r>
      <w:r>
        <w:rPr>
          <w:rFonts w:hint="eastAsia" w:ascii="Times New Roman" w:hAnsi="Times New Roman" w:cs="Times New Roman"/>
          <w:lang w:val="en-US" w:eastAsia="zh-CN"/>
        </w:rPr>
        <w:t>6</w:t>
      </w:r>
      <w:r>
        <w:rPr>
          <w:rFonts w:hint="eastAsia" w:ascii="Times New Roman" w:hAnsi="Times New Roman" w:cs="Times New Roman"/>
        </w:rPr>
        <w:t>款</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 xml:space="preserve">  见供应商须知前附表  </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 xml:space="preserve"> 报价的其他要求</w:t>
      </w:r>
      <w:r>
        <w:rPr>
          <w:rFonts w:hint="eastAsia" w:ascii="Times New Roman" w:hAnsi="Times New Roman" w:cs="Times New Roman"/>
        </w:rPr>
        <w:t>：</w:t>
      </w:r>
      <w:r>
        <w:rPr>
          <w:rFonts w:hint="eastAsia" w:ascii="Times New Roman" w:hAnsi="Times New Roman" w:cs="Times New Roman"/>
          <w:szCs w:val="21"/>
        </w:rPr>
        <w:t>见供应商须知前附表</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keepNext/>
        <w:keepLines/>
        <w:spacing w:before="120" w:after="120" w:line="415" w:lineRule="auto"/>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3.4响应保证金</w:t>
      </w:r>
    </w:p>
    <w:p>
      <w:pPr>
        <w:spacing w:line="440" w:lineRule="exact"/>
        <w:ind w:firstLine="420"/>
        <w:rPr>
          <w:rFonts w:ascii="Times New Roman" w:hAnsi="Times New Roman"/>
        </w:rPr>
      </w:pPr>
      <w:r>
        <w:rPr>
          <w:rFonts w:ascii="Times New Roman" w:hAnsi="Times New Roman" w:cs="Times New Roman"/>
        </w:rPr>
        <w:t>3.4.1 供应商在递交响应文件的同时，应按</w:t>
      </w:r>
      <w:r>
        <w:rPr>
          <w:rFonts w:hint="eastAsia" w:ascii="Times New Roman" w:hAnsi="Times New Roman" w:cs="Times New Roman"/>
        </w:rPr>
        <w:t>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rPr>
        <w:t>第7条的要求</w:t>
      </w:r>
      <w:r>
        <w:rPr>
          <w:rFonts w:ascii="Times New Roman" w:hAnsi="Times New Roman" w:cs="Times New Roman"/>
        </w:rPr>
        <w:t>递交响应保证金，并作为其响应文件的组成部分。</w:t>
      </w:r>
    </w:p>
    <w:p>
      <w:pPr>
        <w:spacing w:line="440" w:lineRule="exact"/>
        <w:ind w:firstLine="420"/>
        <w:rPr>
          <w:rFonts w:ascii="Times New Roman" w:hAnsi="Times New Roman" w:cs="Times New Roman"/>
        </w:rPr>
      </w:pPr>
      <w:r>
        <w:rPr>
          <w:rFonts w:ascii="Times New Roman" w:hAnsi="Times New Roman" w:cs="Times New Roman"/>
        </w:rPr>
        <w:t>无论采取何种形式的响应保证金，响应保证金有效期均应与响应有效期一致。</w:t>
      </w:r>
    </w:p>
    <w:p>
      <w:pPr>
        <w:spacing w:line="440" w:lineRule="exact"/>
        <w:ind w:firstLine="420"/>
        <w:rPr>
          <w:rFonts w:ascii="Times New Roman" w:hAnsi="Times New Roman" w:cs="Times New Roman"/>
        </w:rPr>
      </w:pPr>
      <w:r>
        <w:rPr>
          <w:rFonts w:ascii="Times New Roman" w:hAnsi="Times New Roman" w:cs="Times New Roman"/>
        </w:rPr>
        <w:t>3.4.2 供应商不按本章第3.4.1项要求提交响应保证金的，</w:t>
      </w:r>
      <w:r>
        <w:rPr>
          <w:rFonts w:hint="eastAsia" w:ascii="Times New Roman" w:hAnsi="Times New Roman" w:cs="Times New Roman"/>
        </w:rPr>
        <w:t>评审小组</w:t>
      </w:r>
      <w:r>
        <w:rPr>
          <w:rFonts w:ascii="Times New Roman" w:hAnsi="Times New Roman" w:cs="Times New Roman"/>
        </w:rPr>
        <w:t>将否决其</w:t>
      </w:r>
      <w:r>
        <w:rPr>
          <w:rFonts w:hint="eastAsia" w:ascii="Times New Roman" w:hAnsi="Times New Roman" w:cs="Times New Roman"/>
        </w:rPr>
        <w:t>响应文件</w:t>
      </w:r>
      <w:r>
        <w:rPr>
          <w:rFonts w:ascii="Times New Roman" w:hAnsi="Times New Roman" w:cs="Times New Roman"/>
        </w:rPr>
        <w:t>。</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3.4.3 采购人在与成交人签订合同后5日内办理退还响应保证金手续。</w:t>
      </w:r>
    </w:p>
    <w:p>
      <w:pPr>
        <w:spacing w:line="440" w:lineRule="exact"/>
        <w:ind w:firstLine="420"/>
        <w:rPr>
          <w:rFonts w:ascii="Times New Roman" w:hAnsi="Times New Roman" w:cs="Times New Roman"/>
        </w:rPr>
      </w:pPr>
      <w:r>
        <w:rPr>
          <w:rFonts w:ascii="Times New Roman" w:hAnsi="Times New Roman" w:cs="Times New Roman"/>
        </w:rPr>
        <w:t>3.4.4 有下列情形之一的，响应保证金将不予退还：</w:t>
      </w:r>
    </w:p>
    <w:p>
      <w:pPr>
        <w:spacing w:line="440" w:lineRule="exact"/>
        <w:ind w:firstLine="420"/>
        <w:rPr>
          <w:rFonts w:ascii="Times New Roman" w:hAnsi="Times New Roman" w:cs="Times New Roman"/>
        </w:rPr>
      </w:pPr>
      <w:r>
        <w:rPr>
          <w:rFonts w:ascii="Times New Roman" w:hAnsi="Times New Roman" w:cs="Times New Roman"/>
        </w:rPr>
        <w:t>（1）供应商在规定的响应有效期内撤销其响应文件；</w:t>
      </w:r>
    </w:p>
    <w:p>
      <w:pPr>
        <w:spacing w:line="440" w:lineRule="exact"/>
        <w:ind w:firstLine="420"/>
        <w:rPr>
          <w:rFonts w:ascii="Times New Roman" w:hAnsi="Times New Roman" w:cs="Times New Roman"/>
        </w:rPr>
      </w:pPr>
      <w:r>
        <w:rPr>
          <w:rFonts w:ascii="Times New Roman" w:hAnsi="Times New Roman" w:cs="Times New Roman"/>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szCs w:val="21"/>
        </w:rPr>
        <w:t>供应商须知前附表规定的</w:t>
      </w:r>
      <w:r>
        <w:rPr>
          <w:rFonts w:ascii="Times New Roman" w:hAnsi="Times New Roman" w:cs="Times New Roman"/>
          <w:szCs w:val="21"/>
        </w:rPr>
        <w:t>其他情形</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3.5资格审查资料</w:t>
      </w:r>
    </w:p>
    <w:p>
      <w:pPr>
        <w:spacing w:line="440" w:lineRule="exact"/>
        <w:ind w:firstLine="420"/>
        <w:rPr>
          <w:rFonts w:ascii="Times New Roman" w:hAnsi="Times New Roman" w:cs="Times New Roman"/>
        </w:rPr>
      </w:pPr>
      <w:r>
        <w:rPr>
          <w:rFonts w:ascii="Times New Roman" w:hAnsi="Times New Roman" w:cs="Times New Roman"/>
        </w:rPr>
        <w:t>供应商应按第六章“响应文件格式”</w:t>
      </w:r>
      <w:r>
        <w:rPr>
          <w:rFonts w:hint="eastAsia" w:ascii="Times New Roman" w:hAnsi="Times New Roman" w:cs="Times New Roman"/>
        </w:rPr>
        <w:t>的</w:t>
      </w:r>
      <w:r>
        <w:rPr>
          <w:rFonts w:ascii="Times New Roman" w:hAnsi="Times New Roman" w:cs="Times New Roman"/>
        </w:rPr>
        <w:t>规定提供资格审查资料，以证明其满足本章第1.</w:t>
      </w:r>
      <w:r>
        <w:rPr>
          <w:rFonts w:hint="eastAsia" w:ascii="Times New Roman" w:hAnsi="Times New Roman" w:cs="Times New Roman"/>
        </w:rPr>
        <w:t>2</w:t>
      </w:r>
      <w:r>
        <w:rPr>
          <w:rFonts w:ascii="Times New Roman" w:hAnsi="Times New Roman" w:cs="Times New Roman"/>
        </w:rPr>
        <w:t>款规定的资质、</w:t>
      </w:r>
      <w:r>
        <w:rPr>
          <w:rFonts w:hint="eastAsia" w:ascii="Times New Roman" w:hAnsi="Times New Roman" w:cs="Times New Roman"/>
        </w:rPr>
        <w:t>能力、</w:t>
      </w:r>
      <w:r>
        <w:rPr>
          <w:rFonts w:ascii="Times New Roman" w:hAnsi="Times New Roman" w:cs="Times New Roman"/>
        </w:rPr>
        <w:t>信誉等要求。</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响应文件的编制</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6</w:t>
      </w:r>
      <w:r>
        <w:rPr>
          <w:rFonts w:ascii="Times New Roman" w:hAnsi="Times New Roman" w:cs="Times New Roman"/>
        </w:rPr>
        <w:t>.1</w:t>
      </w:r>
      <w:r>
        <w:rPr>
          <w:rFonts w:hint="eastAsia" w:ascii="Times New Roman" w:hAnsi="Times New Roman" w:cs="Times New Roman"/>
        </w:rPr>
        <w:t xml:space="preserve"> </w:t>
      </w:r>
      <w:r>
        <w:rPr>
          <w:rFonts w:ascii="Times New Roman" w:hAnsi="Times New Roman" w:cs="Times New Roman"/>
        </w:rPr>
        <w:t>响应文件应按第六章“响应文件格式”进行编写，如有必要，可以增加附页，作为响应文件的组成部分。</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6</w:t>
      </w:r>
      <w:r>
        <w:rPr>
          <w:rFonts w:ascii="Times New Roman" w:hAnsi="Times New Roman" w:cs="Times New Roman"/>
        </w:rPr>
        <w:t>.2 响应文件应当对询比文件有关工期、响应有效期、质量要求、技术标准和要求、</w:t>
      </w:r>
      <w:r>
        <w:rPr>
          <w:rFonts w:hint="eastAsia" w:ascii="Times New Roman" w:hAnsi="Times New Roman" w:cs="Times New Roman"/>
        </w:rPr>
        <w:t>采购范围</w:t>
      </w:r>
      <w:r>
        <w:rPr>
          <w:rFonts w:ascii="Times New Roman" w:hAnsi="Times New Roman" w:cs="Times New Roman"/>
        </w:rPr>
        <w:t>等实质性内容作出响应。</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6</w:t>
      </w:r>
      <w:r>
        <w:rPr>
          <w:rFonts w:ascii="Times New Roman" w:hAnsi="Times New Roman" w:cs="Times New Roman"/>
        </w:rPr>
        <w:t>.3响应文件的制作应满足以下规定：</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响应</w:t>
      </w:r>
      <w:r>
        <w:rPr>
          <w:rFonts w:ascii="Times New Roman" w:hAnsi="Times New Roman" w:cs="Times New Roman"/>
        </w:rPr>
        <w:t>文件应用不褪色的材料书写或打印，并按第六章“</w:t>
      </w:r>
      <w:r>
        <w:rPr>
          <w:rFonts w:hint="eastAsia" w:ascii="Times New Roman" w:hAnsi="Times New Roman" w:cs="Times New Roman"/>
        </w:rPr>
        <w:t>响应文件</w:t>
      </w:r>
      <w:r>
        <w:rPr>
          <w:rFonts w:ascii="Times New Roman" w:hAnsi="Times New Roman" w:cs="Times New Roman"/>
        </w:rPr>
        <w:t>格式”的要求进行</w:t>
      </w:r>
      <w:r>
        <w:rPr>
          <w:rFonts w:hint="eastAsia" w:ascii="Times New Roman" w:hAnsi="Times New Roman" w:cs="Times New Roman"/>
        </w:rPr>
        <w:t>签名</w:t>
      </w:r>
      <w:r>
        <w:rPr>
          <w:rFonts w:ascii="Times New Roman" w:hAnsi="Times New Roman" w:cs="Times New Roman"/>
        </w:rPr>
        <w:t>和（或）盖章。</w:t>
      </w:r>
      <w:r>
        <w:rPr>
          <w:rFonts w:hint="eastAsia" w:ascii="Times New Roman" w:hAnsi="Times New Roman" w:cs="Times New Roman"/>
        </w:rPr>
        <w:t>响应</w:t>
      </w:r>
      <w:r>
        <w:rPr>
          <w:rFonts w:ascii="Times New Roman" w:hAnsi="Times New Roman" w:cs="Times New Roman"/>
        </w:rPr>
        <w:t>文件应尽量避免涂改、行间插字或删除。如果出现上述情况，改动之处应由</w:t>
      </w:r>
      <w:r>
        <w:rPr>
          <w:rFonts w:hint="eastAsia" w:ascii="Times New Roman" w:hAnsi="Times New Roman" w:cs="Times New Roman"/>
        </w:rPr>
        <w:t>供应商</w:t>
      </w:r>
      <w:r>
        <w:rPr>
          <w:rFonts w:ascii="Times New Roman" w:hAnsi="Times New Roman" w:cs="Times New Roman"/>
        </w:rPr>
        <w:t>的法定代表人或其授权的代理人</w:t>
      </w:r>
      <w:r>
        <w:rPr>
          <w:rFonts w:hint="eastAsia" w:ascii="Times New Roman" w:hAnsi="Times New Roman" w:cs="Times New Roman"/>
        </w:rPr>
        <w:t>签名</w:t>
      </w:r>
      <w:r>
        <w:rPr>
          <w:rFonts w:ascii="Times New Roman" w:hAnsi="Times New Roman" w:cs="Times New Roman"/>
        </w:rPr>
        <w:t>或盖单位章。</w:t>
      </w:r>
    </w:p>
    <w:p>
      <w:pPr>
        <w:spacing w:line="440" w:lineRule="exact"/>
        <w:ind w:firstLine="420"/>
        <w:rPr>
          <w:rFonts w:hint="default" w:ascii="Times New Roman" w:hAnsi="Times New Roman" w:cs="Times New Roman" w:eastAsiaTheme="minorEastAsia"/>
          <w:lang w:val="en-US" w:eastAsia="zh-CN"/>
        </w:rPr>
      </w:pPr>
      <w:r>
        <w:rPr>
          <w:rFonts w:ascii="Times New Roman" w:hAnsi="Times New Roman" w:cs="Times New Roman"/>
        </w:rPr>
        <w:t>（2）</w:t>
      </w:r>
      <w:r>
        <w:rPr>
          <w:rFonts w:hint="eastAsia" w:ascii="Times New Roman" w:hAnsi="Times New Roman" w:cs="Times New Roman"/>
          <w:lang w:val="en-US" w:eastAsia="zh-CN"/>
        </w:rPr>
        <w:t>响应文件正本一份，副本一份。正本和副本的封面右上角上应清楚地标记“正本”和“副本”的字样。当副本与正本不一致时，以正本文件为准。</w:t>
      </w:r>
    </w:p>
    <w:p>
      <w:pPr>
        <w:spacing w:line="440" w:lineRule="exact"/>
        <w:ind w:firstLine="420"/>
        <w:rPr>
          <w:rFonts w:hint="default" w:ascii="Times New Roman" w:hAnsi="Times New Roman" w:cs="Times New Roman"/>
          <w:highlight w:val="none"/>
          <w:lang w:val="en-US" w:eastAsia="zh-CN"/>
        </w:rPr>
      </w:pP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3</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响应文件的正本与副本应分别装订。</w:t>
      </w:r>
    </w:p>
    <w:p>
      <w:pPr>
        <w:spacing w:line="440" w:lineRule="exact"/>
        <w:ind w:firstLine="420"/>
        <w:rPr>
          <w:rFonts w:ascii="Times New Roman" w:hAnsi="Times New Roman" w:cs="Times New Roman"/>
          <w:highlight w:val="none"/>
        </w:rPr>
      </w:pP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4</w:t>
      </w:r>
      <w:r>
        <w:rPr>
          <w:rFonts w:hint="eastAsia" w:ascii="Times New Roman" w:hAnsi="Times New Roman" w:cs="Times New Roman"/>
          <w:highlight w:val="none"/>
          <w:lang w:eastAsia="zh-CN"/>
        </w:rPr>
        <w:t>）</w:t>
      </w:r>
      <w:r>
        <w:rPr>
          <w:rFonts w:hint="eastAsia" w:ascii="Times New Roman" w:hAnsi="Times New Roman" w:cs="Times New Roman"/>
          <w:highlight w:val="none"/>
        </w:rPr>
        <w:t>响应文件其他要求见供应商须知前附表</w:t>
      </w:r>
      <w:r>
        <w:rPr>
          <w:rFonts w:ascii="Times New Roman" w:hAnsi="Times New Roman" w:cs="Times New Roman"/>
          <w:highlight w:val="none"/>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4. 响应文件的递交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4.1响应文件的密封和标记</w:t>
      </w:r>
    </w:p>
    <w:p>
      <w:pPr>
        <w:spacing w:line="440" w:lineRule="exact"/>
        <w:ind w:firstLine="420"/>
        <w:rPr>
          <w:rFonts w:hint="eastAsia" w:ascii="Times New Roman" w:hAnsi="Times New Roman" w:cs="Times New Roman"/>
          <w:lang w:val="en-US" w:eastAsia="zh-CN"/>
        </w:rPr>
      </w:pPr>
      <w:r>
        <w:rPr>
          <w:rFonts w:ascii="Times New Roman" w:hAnsi="Times New Roman" w:cs="Times New Roman"/>
        </w:rPr>
        <w:t>4.1.1响应文件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w:t>
      </w:r>
      <w:r>
        <w:rPr>
          <w:rFonts w:hint="eastAsia" w:ascii="Times New Roman" w:hAnsi="Times New Roman" w:cs="Times New Roman"/>
          <w:lang w:val="en-US" w:eastAsia="zh-CN"/>
        </w:rPr>
        <w:t>第一信封（商务技术文件）与第二信封（报价文件）分开密封。</w:t>
      </w:r>
    </w:p>
    <w:p>
      <w:pPr>
        <w:spacing w:line="440" w:lineRule="exact"/>
        <w:ind w:firstLine="420"/>
        <w:rPr>
          <w:rFonts w:ascii="Times New Roman" w:hAnsi="Times New Roman" w:cs="Times New Roman"/>
        </w:rPr>
      </w:pPr>
      <w:r>
        <w:rPr>
          <w:rFonts w:hint="eastAsia" w:ascii="Times New Roman" w:hAnsi="Times New Roman" w:cs="Times New Roman"/>
          <w:lang w:val="en-US" w:eastAsia="zh-CN"/>
        </w:rPr>
        <w:t>响应文件第一信封（商务技术文件）</w:t>
      </w:r>
      <w:r>
        <w:rPr>
          <w:rFonts w:hint="eastAsia" w:ascii="Times New Roman" w:hAnsi="Times New Roman" w:cs="Times New Roman"/>
        </w:rPr>
        <w:t>封套上注明：</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rPr>
        <w:t>供应商名称：</w:t>
      </w:r>
      <w:r>
        <w:rPr>
          <w:rFonts w:hint="eastAsia" w:ascii="Times New Roman" w:hAnsi="Times New Roman" w:eastAsia="黑体" w:cs="黑体"/>
          <w:bCs/>
          <w:snapToGrid w:val="0"/>
          <w:kern w:val="0"/>
          <w:szCs w:val="21"/>
          <w:u w:val="single"/>
        </w:rPr>
        <w:t xml:space="preserve">            </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(项目</w:t>
      </w:r>
      <w:r>
        <w:rPr>
          <w:rFonts w:hint="eastAsia" w:ascii="Times New Roman" w:hAnsi="Times New Roman" w:eastAsia="黑体" w:cs="黑体"/>
        </w:rPr>
        <w:t>名称</w:t>
      </w:r>
      <w:r>
        <w:rPr>
          <w:rFonts w:hint="eastAsia" w:ascii="Times New Roman" w:hAnsi="Times New Roman" w:eastAsia="黑体" w:cs="黑体"/>
          <w:bCs/>
          <w:snapToGrid w:val="0"/>
          <w:kern w:val="0"/>
          <w:szCs w:val="21"/>
        </w:rPr>
        <w:t>)</w:t>
      </w:r>
      <w:r>
        <w:rPr>
          <w:rFonts w:hint="eastAsia" w:ascii="Times New Roman" w:hAnsi="Times New Roman" w:eastAsia="黑体" w:cs="黑体"/>
          <w:bCs/>
          <w:snapToGrid w:val="0"/>
          <w:kern w:val="0"/>
          <w:szCs w:val="21"/>
          <w:u w:val="none"/>
          <w:lang w:val="en-US" w:eastAsia="zh-CN"/>
        </w:rPr>
        <w:t>第一信封（商务技术文件）</w:t>
      </w:r>
      <w:r>
        <w:rPr>
          <w:rFonts w:hint="eastAsia" w:ascii="Times New Roman" w:hAnsi="Times New Roman" w:eastAsia="黑体" w:cs="黑体"/>
          <w:bCs/>
          <w:snapToGrid w:val="0"/>
          <w:kern w:val="0"/>
          <w:szCs w:val="21"/>
        </w:rPr>
        <w:t>响应文件</w:t>
      </w:r>
    </w:p>
    <w:p>
      <w:pPr>
        <w:spacing w:line="440" w:lineRule="exact"/>
        <w:ind w:firstLine="420"/>
        <w:rPr>
          <w:rFonts w:hint="eastAsia" w:ascii="Times New Roman" w:hAnsi="Times New Roman" w:eastAsia="黑体" w:cs="黑体"/>
          <w:bCs/>
          <w:snapToGrid w:val="0"/>
          <w:kern w:val="0"/>
          <w:szCs w:val="21"/>
        </w:rPr>
      </w:pPr>
      <w:r>
        <w:rPr>
          <w:rFonts w:hint="eastAsia" w:ascii="Times New Roman" w:hAnsi="Times New Roman" w:eastAsia="黑体" w:cs="黑体"/>
          <w:bCs/>
          <w:snapToGrid w:val="0"/>
          <w:kern w:val="0"/>
          <w:szCs w:val="21"/>
        </w:rPr>
        <w:t>在</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年</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月</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日</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时</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分（递交响应文件的截止时间）前不得开启</w:t>
      </w:r>
    </w:p>
    <w:p>
      <w:pPr>
        <w:spacing w:line="440" w:lineRule="exact"/>
        <w:ind w:firstLine="420"/>
        <w:rPr>
          <w:rFonts w:ascii="Times New Roman" w:hAnsi="Times New Roman" w:cs="Times New Roman"/>
        </w:rPr>
      </w:pPr>
      <w:r>
        <w:rPr>
          <w:rFonts w:hint="eastAsia" w:ascii="Times New Roman" w:hAnsi="Times New Roman" w:cs="Times New Roman"/>
          <w:lang w:val="en-US" w:eastAsia="zh-CN"/>
        </w:rPr>
        <w:t>响应文件第二信封（报价文件）</w:t>
      </w:r>
      <w:r>
        <w:rPr>
          <w:rFonts w:hint="eastAsia" w:ascii="Times New Roman" w:hAnsi="Times New Roman" w:cs="Times New Roman"/>
        </w:rPr>
        <w:t>封套上注明：</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rPr>
        <w:t>供应商名称：</w:t>
      </w:r>
      <w:r>
        <w:rPr>
          <w:rFonts w:hint="eastAsia" w:ascii="Times New Roman" w:hAnsi="Times New Roman" w:eastAsia="黑体" w:cs="黑体"/>
          <w:bCs/>
          <w:snapToGrid w:val="0"/>
          <w:kern w:val="0"/>
          <w:szCs w:val="21"/>
          <w:u w:val="single"/>
        </w:rPr>
        <w:t xml:space="preserve">            </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(项目</w:t>
      </w:r>
      <w:r>
        <w:rPr>
          <w:rFonts w:hint="eastAsia" w:ascii="Times New Roman" w:hAnsi="Times New Roman" w:eastAsia="黑体" w:cs="黑体"/>
        </w:rPr>
        <w:t>名称</w:t>
      </w:r>
      <w:r>
        <w:rPr>
          <w:rFonts w:hint="eastAsia" w:ascii="Times New Roman" w:hAnsi="Times New Roman" w:eastAsia="黑体" w:cs="黑体"/>
          <w:bCs/>
          <w:snapToGrid w:val="0"/>
          <w:kern w:val="0"/>
          <w:szCs w:val="21"/>
        </w:rPr>
        <w:t>)</w:t>
      </w:r>
      <w:r>
        <w:rPr>
          <w:rFonts w:hint="eastAsia" w:ascii="Times New Roman" w:hAnsi="Times New Roman" w:eastAsia="黑体" w:cs="黑体"/>
          <w:bCs/>
          <w:snapToGrid w:val="0"/>
          <w:kern w:val="0"/>
          <w:szCs w:val="21"/>
          <w:u w:val="none"/>
          <w:lang w:val="en-US" w:eastAsia="zh-CN"/>
        </w:rPr>
        <w:t>第二信封（报价文件）</w:t>
      </w:r>
      <w:r>
        <w:rPr>
          <w:rFonts w:hint="eastAsia" w:ascii="Times New Roman" w:hAnsi="Times New Roman" w:eastAsia="黑体" w:cs="黑体"/>
          <w:bCs/>
          <w:snapToGrid w:val="0"/>
          <w:kern w:val="0"/>
          <w:szCs w:val="21"/>
        </w:rPr>
        <w:t>响应文件</w:t>
      </w:r>
    </w:p>
    <w:p>
      <w:pPr>
        <w:spacing w:line="440" w:lineRule="exact"/>
        <w:ind w:firstLine="420" w:firstLineChars="200"/>
        <w:jc w:val="both"/>
        <w:rPr>
          <w:rFonts w:hint="eastAsia" w:ascii="Times New Roman" w:hAnsi="Times New Roman" w:eastAsia="黑体" w:cs="黑体"/>
          <w:bCs/>
          <w:snapToGrid w:val="0"/>
          <w:kern w:val="0"/>
          <w:szCs w:val="21"/>
        </w:rPr>
      </w:pPr>
      <w:r>
        <w:rPr>
          <w:rFonts w:hint="eastAsia" w:ascii="Times New Roman" w:hAnsi="Times New Roman" w:eastAsia="黑体" w:cs="黑体"/>
          <w:bCs/>
          <w:snapToGrid w:val="0"/>
          <w:kern w:val="0"/>
          <w:szCs w:val="21"/>
          <w:lang w:val="en-US" w:eastAsia="zh-CN"/>
        </w:rPr>
        <w:t>在第一信封开启</w:t>
      </w:r>
      <w:r>
        <w:rPr>
          <w:rFonts w:hint="eastAsia" w:ascii="Times New Roman" w:hAnsi="Times New Roman" w:eastAsia="黑体" w:cs="黑体"/>
          <w:bCs/>
          <w:snapToGrid w:val="0"/>
          <w:kern w:val="0"/>
          <w:szCs w:val="21"/>
        </w:rPr>
        <w:t>前不得开启</w:t>
      </w:r>
    </w:p>
    <w:p>
      <w:pPr>
        <w:spacing w:line="440" w:lineRule="exact"/>
        <w:ind w:firstLine="420"/>
        <w:rPr>
          <w:rFonts w:ascii="Times New Roman" w:hAnsi="Times New Roman" w:cs="Times New Roman"/>
        </w:rPr>
      </w:pPr>
      <w:r>
        <w:rPr>
          <w:rFonts w:ascii="Times New Roman" w:hAnsi="Times New Roman" w:cs="Times New Roman"/>
        </w:rPr>
        <w:t>4.1.2</w:t>
      </w:r>
      <w:r>
        <w:rPr>
          <w:rFonts w:ascii="Times New Roman" w:hAnsi="Times New Roman"/>
        </w:rPr>
        <w:t>未按本章第4.1.1项</w:t>
      </w:r>
      <w:r>
        <w:rPr>
          <w:rFonts w:ascii="Times New Roman" w:hAnsi="Times New Roman" w:cs="Times New Roman"/>
        </w:rPr>
        <w:t>要求</w:t>
      </w:r>
      <w:r>
        <w:rPr>
          <w:rFonts w:ascii="Times New Roman" w:hAnsi="Times New Roman"/>
        </w:rPr>
        <w:t>密封的</w:t>
      </w:r>
      <w:r>
        <w:rPr>
          <w:rFonts w:hint="eastAsia" w:ascii="Times New Roman" w:hAnsi="Times New Roman"/>
        </w:rPr>
        <w:t>响应文件</w:t>
      </w:r>
      <w:r>
        <w:rPr>
          <w:rFonts w:ascii="Times New Roman" w:hAnsi="Times New Roman"/>
        </w:rPr>
        <w:t>，</w:t>
      </w:r>
      <w:r>
        <w:rPr>
          <w:rFonts w:hint="eastAsia" w:ascii="Times New Roman" w:hAnsi="Times New Roman"/>
        </w:rPr>
        <w:t>采购人</w:t>
      </w:r>
      <w:r>
        <w:rPr>
          <w:rFonts w:ascii="Times New Roman" w:hAnsi="Times New Roman"/>
        </w:rPr>
        <w:t>将予以拒收。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4.2 响应文件的递交</w:t>
      </w:r>
    </w:p>
    <w:p>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szCs w:val="21"/>
        </w:rPr>
        <w:t>第5条的规定递交响应文件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w:t>
      </w:r>
      <w:r>
        <w:rPr>
          <w:rFonts w:ascii="Times New Roman" w:hAnsi="Times New Roman" w:cs="Times New Roman"/>
        </w:rPr>
        <w:t xml:space="preserve"> </w:t>
      </w:r>
      <w:r>
        <w:rPr>
          <w:rFonts w:hint="eastAsia" w:ascii="Times New Roman" w:hAnsi="Times New Roman" w:cs="Times New Roman"/>
        </w:rPr>
        <w:t>递交响应文件的供应商数量不足3家时，采购人将宣布本次采购失败，并退还已递交的响应文件。</w:t>
      </w:r>
    </w:p>
    <w:p>
      <w:pPr>
        <w:spacing w:line="440" w:lineRule="exact"/>
        <w:ind w:firstLine="420"/>
        <w:rPr>
          <w:rFonts w:ascii="Times New Roman" w:hAnsi="Times New Roman" w:cs="Times New Roman"/>
        </w:rPr>
      </w:pPr>
      <w:r>
        <w:rPr>
          <w:rFonts w:hint="eastAsia" w:ascii="Times New Roman" w:hAnsi="Times New Roman" w:cs="Times New Roman"/>
        </w:rPr>
        <w:t>4.2.3 除第4.2.2项规定外，</w:t>
      </w:r>
      <w:r>
        <w:rPr>
          <w:rFonts w:ascii="Times New Roman" w:hAnsi="Times New Roman" w:cs="Times New Roman"/>
        </w:rPr>
        <w:t>供应商所递交的响应文件不予退还。</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5. 启封</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5.1 启封时间和地点</w:t>
      </w:r>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szCs w:val="21"/>
        </w:rPr>
        <w:t>第6条的规定进行启封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 xml:space="preserve">5.2.1主持人按下列程序进行启封：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 xml:space="preserve">（2）由供应商推选的代表检查响应文件的密封情况；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bCs/>
        </w:rPr>
      </w:pPr>
      <w:r>
        <w:rPr>
          <w:rFonts w:ascii="Times New Roman" w:hAnsi="Times New Roman" w:cs="Times New Roman"/>
        </w:rPr>
        <w:t>（3）</w:t>
      </w:r>
      <w:r>
        <w:rPr>
          <w:rFonts w:hint="eastAsia" w:ascii="Times New Roman" w:hAnsi="Times New Roman" w:cs="Times New Roman"/>
          <w:bCs/>
          <w:lang w:val="en-US" w:eastAsia="zh-CN"/>
        </w:rPr>
        <w:t>开启商务技术文件</w:t>
      </w:r>
      <w:r>
        <w:rPr>
          <w:rFonts w:ascii="Times New Roman" w:hAnsi="Times New Roman" w:cs="Times New Roman"/>
          <w:bCs/>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cs="Times New Roman"/>
          <w:bCs/>
          <w:lang w:val="en-US" w:eastAsia="zh-CN"/>
        </w:rPr>
      </w:pPr>
      <w:r>
        <w:rPr>
          <w:rFonts w:ascii="Times New Roman" w:hAnsi="Times New Roman" w:cs="Times New Roman"/>
          <w:bCs/>
        </w:rPr>
        <w:t>（</w:t>
      </w:r>
      <w:r>
        <w:rPr>
          <w:rFonts w:hint="eastAsia" w:ascii="Times New Roman" w:hAnsi="Times New Roman" w:cs="Times New Roman"/>
          <w:bCs/>
        </w:rPr>
        <w:t>4</w:t>
      </w:r>
      <w:r>
        <w:rPr>
          <w:rFonts w:ascii="Times New Roman" w:hAnsi="Times New Roman" w:cs="Times New Roman"/>
          <w:bCs/>
        </w:rPr>
        <w:t>）</w:t>
      </w:r>
      <w:r>
        <w:rPr>
          <w:rFonts w:hint="eastAsia" w:ascii="Times New Roman" w:hAnsi="Times New Roman" w:cs="Times New Roman"/>
          <w:bCs/>
          <w:lang w:val="en-US" w:eastAsia="zh-CN"/>
        </w:rPr>
        <w:t>开启报价文件；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bCs/>
        </w:rPr>
        <w:t>5.2.2</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6. 评审</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6.1</w:t>
      </w:r>
      <w:r>
        <w:rPr>
          <w:rFonts w:hint="eastAsia"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highlight w:val="none"/>
        </w:rPr>
        <w:t>评审小组人数：3</w:t>
      </w:r>
      <w:r>
        <w:rPr>
          <w:rFonts w:hint="eastAsia" w:ascii="Times New Roman" w:hAnsi="Times New Roman" w:cs="Times New Roman"/>
          <w:highlight w:val="none"/>
          <w:lang w:val="en-US" w:eastAsia="zh-CN"/>
        </w:rPr>
        <w:t>人及以上单数</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评审</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r>
        <w:rPr>
          <w:rFonts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w:t>
      </w:r>
      <w:r>
        <w:rPr>
          <w:rFonts w:hint="eastAsia" w:ascii="Times New Roman" w:hAnsi="Times New Roman" w:cs="Times New Roman"/>
          <w:lang w:val="en-US" w:eastAsia="zh-CN"/>
        </w:rPr>
        <w:t>3</w:t>
      </w:r>
      <w:r>
        <w:rPr>
          <w:rFonts w:ascii="Times New Roman" w:hAnsi="Times New Roman" w:cs="Times New Roman"/>
        </w:rPr>
        <w:t>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r>
        <w:rPr>
          <w:rFonts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7. 合同授予</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7.1成交候选人公示</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采用公开询比方式采购的项目，公示期不得少于</w:t>
      </w:r>
      <w:r>
        <w:rPr>
          <w:rFonts w:hint="eastAsia" w:ascii="Times New Roman" w:hAnsi="Times New Roman" w:cs="Times New Roman"/>
        </w:rPr>
        <w:t>3</w:t>
      </w:r>
      <w:r>
        <w:rPr>
          <w:rFonts w:ascii="Times New Roman" w:hAnsi="Times New Roman" w:cs="Times New Roman"/>
        </w:rPr>
        <w:t>日。</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7.2评审结果异议</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7.3成交候选人履约能力审查</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7.4履约保证金</w:t>
      </w:r>
    </w:p>
    <w:p>
      <w:pPr>
        <w:spacing w:line="440" w:lineRule="exact"/>
        <w:ind w:firstLine="420"/>
        <w:rPr>
          <w:rFonts w:hint="eastAsia" w:eastAsiaTheme="minorEastAsia"/>
          <w:lang w:eastAsia="zh-CN"/>
        </w:rPr>
      </w:pPr>
      <w:r>
        <w:rPr>
          <w:rFonts w:hint="eastAsia" w:ascii="Times New Roman" w:hAnsi="Times New Roman" w:cs="Times New Roman"/>
        </w:rPr>
        <w:t>见供应商须知前附表</w:t>
      </w:r>
      <w:r>
        <w:rPr>
          <w:rFonts w:hint="eastAsia" w:ascii="Times New Roman" w:hAnsi="Times New Roman" w:cs="Times New Roman"/>
          <w:lang w:eastAsia="zh-C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7.5签订合同</w:t>
      </w:r>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30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8. 纪律和监督</w:t>
      </w:r>
    </w:p>
    <w:p>
      <w:pPr>
        <w:keepNext/>
        <w:keepLines/>
        <w:spacing w:before="120" w:after="120"/>
        <w:outlineLvl w:val="2"/>
        <w:rPr>
          <w:rFonts w:hint="eastAsia" w:ascii="Times New Roman" w:hAnsi="Times New Roman" w:eastAsia="黑体" w:cs="Times New Roman"/>
          <w:bCs/>
          <w:sz w:val="24"/>
          <w:szCs w:val="32"/>
        </w:rPr>
      </w:pPr>
      <w:r>
        <w:rPr>
          <w:rFonts w:hint="eastAsia" w:ascii="Times New Roman" w:hAnsi="Times New Roman" w:eastAsia="黑体" w:cs="Times New Roman"/>
          <w:bCs/>
          <w:sz w:val="24"/>
          <w:szCs w:val="32"/>
          <w:lang w:val="en-US" w:eastAsia="zh-CN"/>
        </w:rPr>
        <w:t xml:space="preserve">8.1 </w:t>
      </w:r>
      <w:r>
        <w:rPr>
          <w:rFonts w:hint="eastAsia" w:ascii="Times New Roman" w:hAnsi="Times New Roman" w:eastAsia="黑体" w:cs="Times New Roman"/>
          <w:bCs/>
          <w:sz w:val="24"/>
          <w:szCs w:val="32"/>
        </w:rPr>
        <w:t>对</w:t>
      </w:r>
      <w:r>
        <w:rPr>
          <w:rFonts w:hint="eastAsia" w:ascii="Times New Roman" w:hAnsi="Times New Roman" w:eastAsia="黑体" w:cs="Times New Roman"/>
          <w:bCs/>
          <w:sz w:val="24"/>
          <w:szCs w:val="32"/>
          <w:lang w:eastAsia="zh-CN"/>
        </w:rPr>
        <w:t>采购</w:t>
      </w:r>
      <w:r>
        <w:rPr>
          <w:rFonts w:hint="eastAsia" w:ascii="Times New Roman" w:hAnsi="Times New Roman" w:eastAsia="黑体" w:cs="Times New Roman"/>
          <w:bCs/>
          <w:sz w:val="24"/>
          <w:szCs w:val="32"/>
        </w:rPr>
        <w:t>人的纪律要求</w:t>
      </w:r>
    </w:p>
    <w:p>
      <w:pPr>
        <w:spacing w:line="440" w:lineRule="exact"/>
        <w:ind w:firstLine="420"/>
        <w:rPr>
          <w:rFonts w:hint="eastAsia" w:ascii="Times New Roman" w:hAnsi="Times New Roman" w:cs="Times New Roman"/>
          <w:lang w:val="en-US" w:eastAsia="zh-CN"/>
        </w:rPr>
      </w:pPr>
      <w:r>
        <w:rPr>
          <w:rFonts w:hint="eastAsia" w:ascii="Times New Roman" w:hAnsi="Times New Roman" w:cs="Times New Roman"/>
          <w:lang w:eastAsia="zh-CN"/>
        </w:rPr>
        <w:t>采购</w:t>
      </w:r>
      <w:r>
        <w:rPr>
          <w:rFonts w:hint="eastAsia" w:ascii="Times New Roman" w:hAnsi="Times New Roman" w:cs="Times New Roman"/>
        </w:rPr>
        <w:t>人不得泄露</w:t>
      </w:r>
      <w:r>
        <w:rPr>
          <w:rFonts w:hint="eastAsia" w:ascii="Times New Roman" w:hAnsi="Times New Roman" w:cs="Times New Roman"/>
          <w:lang w:eastAsia="zh-CN"/>
        </w:rPr>
        <w:t>采购</w:t>
      </w:r>
      <w:r>
        <w:rPr>
          <w:rFonts w:hint="eastAsia" w:ascii="Times New Roman" w:hAnsi="Times New Roman" w:cs="Times New Roman"/>
        </w:rPr>
        <w:t>活动中应当保密的情况和资料， 不得与</w:t>
      </w:r>
      <w:r>
        <w:rPr>
          <w:rFonts w:hint="eastAsia" w:ascii="Times New Roman" w:hAnsi="Times New Roman" w:cs="Times New Roman"/>
          <w:lang w:eastAsia="zh-CN"/>
        </w:rPr>
        <w:t>响应供应商</w:t>
      </w:r>
      <w:r>
        <w:rPr>
          <w:rFonts w:hint="eastAsia" w:ascii="Times New Roman" w:hAnsi="Times New Roman" w:cs="Times New Roman"/>
        </w:rPr>
        <w:t>串通损害国家利益、社会公共利益或者他人合法权益。</w:t>
      </w:r>
    </w:p>
    <w:p>
      <w:pPr>
        <w:keepNext/>
        <w:keepLines/>
        <w:spacing w:before="120" w:after="120"/>
        <w:outlineLvl w:val="2"/>
        <w:rPr>
          <w:rFonts w:hint="default" w:ascii="Times New Roman" w:hAnsi="Times New Roman" w:eastAsia="黑体" w:cs="Times New Roman"/>
          <w:bCs/>
          <w:sz w:val="24"/>
          <w:szCs w:val="32"/>
          <w:lang w:val="en-US" w:eastAsia="zh-CN"/>
        </w:rPr>
      </w:pPr>
      <w:r>
        <w:rPr>
          <w:rFonts w:hint="eastAsia" w:ascii="Times New Roman" w:hAnsi="Times New Roman" w:eastAsia="黑体" w:cs="Times New Roman"/>
          <w:bCs/>
          <w:sz w:val="24"/>
          <w:szCs w:val="32"/>
          <w:lang w:val="en-US" w:eastAsia="zh-CN"/>
        </w:rPr>
        <w:t>8.2对响应供应商的纪律要求</w:t>
      </w:r>
    </w:p>
    <w:p>
      <w:pPr>
        <w:spacing w:line="440" w:lineRule="exact"/>
        <w:ind w:firstLine="420"/>
        <w:rPr>
          <w:rFonts w:hint="eastAsia" w:ascii="Times New Roman" w:hAnsi="Times New Roman" w:cs="Times New Roman"/>
        </w:rPr>
      </w:pPr>
      <w:r>
        <w:rPr>
          <w:rFonts w:hint="eastAsia" w:ascii="Times New Roman" w:hAnsi="Times New Roman" w:cs="Times New Roman"/>
        </w:rPr>
        <w:t>供应商不得相互串通报价或与采购人串通报价，不得向采购人或评审小组成员行贿谋取成交，不得以他人名义报价或以其他方式弄虚作假骗取成交；供应商不得以任何方式干扰、影响评审工作。</w:t>
      </w:r>
    </w:p>
    <w:p>
      <w:pPr>
        <w:keepNext/>
        <w:keepLines/>
        <w:spacing w:before="120" w:after="120"/>
        <w:outlineLvl w:val="2"/>
        <w:rPr>
          <w:rFonts w:hint="eastAsia" w:ascii="Times New Roman" w:hAnsi="Times New Roman" w:eastAsia="黑体" w:cs="Times New Roman"/>
          <w:bCs/>
          <w:sz w:val="24"/>
          <w:szCs w:val="32"/>
          <w:lang w:val="en-US" w:eastAsia="zh-CN"/>
        </w:rPr>
      </w:pPr>
      <w:r>
        <w:rPr>
          <w:rFonts w:hint="eastAsia" w:ascii="Times New Roman" w:hAnsi="Times New Roman" w:eastAsia="黑体" w:cs="Times New Roman"/>
          <w:bCs/>
          <w:sz w:val="24"/>
          <w:szCs w:val="32"/>
          <w:lang w:val="en-US" w:eastAsia="zh-CN"/>
        </w:rPr>
        <w:t>8.3 对评审小组成员的纪律要求</w:t>
      </w:r>
    </w:p>
    <w:p>
      <w:pPr>
        <w:spacing w:line="440" w:lineRule="exact"/>
        <w:ind w:firstLine="420"/>
        <w:rPr>
          <w:rFonts w:hint="default" w:ascii="Times New Roman" w:hAnsi="Times New Roman" w:cs="Times New Roman"/>
          <w:lang w:val="en-US" w:eastAsia="zh-CN"/>
        </w:rPr>
      </w:pPr>
      <w:r>
        <w:rPr>
          <w:rFonts w:hint="eastAsia" w:ascii="Times New Roman" w:hAnsi="Times New Roman" w:cs="Times New Roman"/>
          <w:lang w:eastAsia="zh-CN"/>
        </w:rPr>
        <w:t>评审小组</w:t>
      </w:r>
      <w:r>
        <w:rPr>
          <w:rFonts w:hint="eastAsia" w:ascii="Times New Roman" w:hAnsi="Times New Roman" w:cs="Times New Roman"/>
        </w:rPr>
        <w:t>成员不得收受他人的财物或者其他好处，不得向他人透露对</w:t>
      </w:r>
      <w:r>
        <w:rPr>
          <w:rFonts w:hint="eastAsia" w:ascii="Times New Roman" w:hAnsi="Times New Roman" w:cs="Times New Roman"/>
          <w:lang w:eastAsia="zh-CN"/>
        </w:rPr>
        <w:t>响应</w:t>
      </w:r>
      <w:r>
        <w:rPr>
          <w:rFonts w:hint="eastAsia" w:ascii="Times New Roman" w:hAnsi="Times New Roman" w:cs="Times New Roman"/>
        </w:rPr>
        <w:t>文件的评审和比较、中标候选人的推荐情况以及</w:t>
      </w:r>
      <w:r>
        <w:rPr>
          <w:rFonts w:hint="eastAsia" w:ascii="Times New Roman" w:hAnsi="Times New Roman" w:cs="Times New Roman"/>
          <w:lang w:eastAsia="zh-CN"/>
        </w:rPr>
        <w:t>评审</w:t>
      </w:r>
      <w:r>
        <w:rPr>
          <w:rFonts w:hint="eastAsia" w:ascii="Times New Roman" w:hAnsi="Times New Roman" w:cs="Times New Roman"/>
        </w:rPr>
        <w:t>有关的其他情况。在</w:t>
      </w:r>
      <w:r>
        <w:rPr>
          <w:rFonts w:hint="eastAsia" w:ascii="Times New Roman" w:hAnsi="Times New Roman" w:cs="Times New Roman"/>
          <w:lang w:eastAsia="zh-CN"/>
        </w:rPr>
        <w:t>评审</w:t>
      </w:r>
      <w:r>
        <w:rPr>
          <w:rFonts w:hint="eastAsia" w:ascii="Times New Roman" w:hAnsi="Times New Roman" w:cs="Times New Roman"/>
        </w:rPr>
        <w:t>活动中，</w:t>
      </w:r>
      <w:r>
        <w:rPr>
          <w:rFonts w:hint="eastAsia" w:ascii="Times New Roman" w:hAnsi="Times New Roman" w:cs="Times New Roman"/>
          <w:lang w:eastAsia="zh-CN"/>
        </w:rPr>
        <w:t>评审小组</w:t>
      </w:r>
      <w:r>
        <w:rPr>
          <w:rFonts w:hint="eastAsia" w:ascii="Times New Roman" w:hAnsi="Times New Roman" w:cs="Times New Roman"/>
        </w:rPr>
        <w:t>成员应当客观、公正地履行职责，遵守职业道德，不得擅离职守，影响评标程序正常进行，不得使用第三章“</w:t>
      </w:r>
      <w:r>
        <w:rPr>
          <w:rFonts w:hint="eastAsia" w:ascii="Times New Roman" w:hAnsi="Times New Roman" w:cs="Times New Roman"/>
          <w:lang w:eastAsia="zh-CN"/>
        </w:rPr>
        <w:t>评审</w:t>
      </w:r>
      <w:r>
        <w:rPr>
          <w:rFonts w:hint="eastAsia" w:ascii="Times New Roman" w:hAnsi="Times New Roman" w:cs="Times New Roman"/>
        </w:rPr>
        <w:t>办法”没有规定的评审因素和标准进行</w:t>
      </w:r>
      <w:r>
        <w:rPr>
          <w:rFonts w:hint="eastAsia" w:ascii="Times New Roman" w:hAnsi="Times New Roman" w:cs="Times New Roman"/>
          <w:lang w:eastAsia="zh-CN"/>
        </w:rPr>
        <w:t>评审</w:t>
      </w:r>
      <w:r>
        <w:rPr>
          <w:rFonts w:hint="eastAsia"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hint="eastAsia" w:ascii="Times New Roman" w:hAnsi="Times New Roman" w:eastAsia="黑体" w:cs="Times New Roman"/>
          <w:bCs/>
          <w:sz w:val="24"/>
          <w:szCs w:val="32"/>
        </w:rPr>
        <w:t xml:space="preserve">9. </w:t>
      </w:r>
      <w:r>
        <w:rPr>
          <w:rFonts w:ascii="Times New Roman" w:hAnsi="Times New Roman" w:eastAsia="黑体" w:cs="Times New Roman"/>
          <w:bCs/>
          <w:sz w:val="24"/>
          <w:szCs w:val="32"/>
        </w:rPr>
        <w:t>需要补充的其他内容</w:t>
      </w:r>
    </w:p>
    <w:p>
      <w:pPr>
        <w:spacing w:line="440" w:lineRule="exact"/>
        <w:ind w:firstLine="420"/>
        <w:rPr>
          <w:rFonts w:hint="eastAsia" w:ascii="Times New Roman" w:hAnsi="Times New Roman" w:cs="Times New Roman"/>
        </w:rPr>
      </w:pPr>
      <w:r>
        <w:rPr>
          <w:rFonts w:hint="eastAsia" w:ascii="Times New Roman" w:hAnsi="Times New Roman" w:cs="Times New Roman"/>
        </w:rPr>
        <w:t>需要补充的其他内容：见供应商须知前附表。</w:t>
      </w:r>
    </w:p>
    <w:bookmarkEnd w:id="49"/>
    <w:bookmarkEnd w:id="50"/>
    <w:bookmarkEnd w:id="51"/>
    <w:p>
      <w:pPr>
        <w:spacing w:line="440" w:lineRule="exact"/>
        <w:ind w:firstLine="420"/>
        <w:rPr>
          <w:rFonts w:hint="eastAsia" w:ascii="Times New Roman" w:hAnsi="Times New Roman" w:cs="Times New Roman"/>
        </w:rPr>
      </w:pPr>
      <w:r>
        <w:rPr>
          <w:rFonts w:hint="eastAsia" w:ascii="Times New Roman" w:hAnsi="Times New Roman" w:cs="Times New Roman"/>
        </w:rPr>
        <w:br w:type="page"/>
      </w:r>
    </w:p>
    <w:p>
      <w:pPr>
        <w:pStyle w:val="5"/>
        <w:spacing w:before="312" w:after="312"/>
        <w:rPr>
          <w:rFonts w:ascii="Times New Roman" w:hAnsi="Times New Roman" w:eastAsia="宋体" w:cs="Times New Roman"/>
        </w:rPr>
      </w:pPr>
      <w:bookmarkStart w:id="52" w:name="_Toc25104"/>
      <w:r>
        <w:rPr>
          <w:rFonts w:ascii="Times New Roman" w:hAnsi="Times New Roman" w:eastAsia="宋体" w:cs="Times New Roman"/>
        </w:rPr>
        <w:t>评审办法</w:t>
      </w:r>
      <w:bookmarkEnd w:id="52"/>
    </w:p>
    <w:p>
      <w:pPr>
        <w:rPr>
          <w:rFonts w:ascii="Times New Roman" w:hAnsi="Times New Roman" w:eastAsia="宋体" w:cs="Times New Roman"/>
        </w:rPr>
        <w:sectPr>
          <w:footerReference r:id="rId5" w:type="default"/>
          <w:footnotePr>
            <w:numFmt w:val="decimalEnclosedCircleChinese"/>
            <w:numRestart w:val="eachPage"/>
          </w:footnotePr>
          <w:pgSz w:w="11906" w:h="16838"/>
          <w:pgMar w:top="1440" w:right="1797" w:bottom="1440" w:left="1797" w:header="851" w:footer="992" w:gutter="0"/>
          <w:pgNumType w:fmt="decimal"/>
          <w:cols w:space="720" w:num="1"/>
          <w:docGrid w:type="linesAndChars" w:linePitch="312" w:charSpace="0"/>
        </w:sectPr>
      </w:pPr>
    </w:p>
    <w:p>
      <w:pPr>
        <w:keepNext/>
        <w:keepLines/>
        <w:spacing w:beforeLines="50" w:afterLines="50"/>
        <w:jc w:val="center"/>
        <w:outlineLvl w:val="1"/>
        <w:rPr>
          <w:rFonts w:ascii="Times New Roman" w:hAnsi="Times New Roman" w:eastAsia="黑体" w:cs="Times New Roman"/>
          <w:bCs/>
          <w:sz w:val="28"/>
          <w:szCs w:val="36"/>
        </w:rPr>
      </w:pPr>
      <w:r>
        <w:rPr>
          <w:rFonts w:hint="default" w:ascii="Times New Roman" w:hAnsi="Times New Roman" w:eastAsia="黑体" w:cs="Times New Roman"/>
          <w:bCs/>
          <w:sz w:val="28"/>
          <w:szCs w:val="36"/>
        </w:rPr>
        <w:t>评</w:t>
      </w:r>
      <w:r>
        <w:rPr>
          <w:rFonts w:hint="default" w:ascii="Times New Roman" w:hAnsi="Times New Roman" w:eastAsia="黑体" w:cs="Times New Roman"/>
          <w:bCs/>
          <w:sz w:val="28"/>
          <w:szCs w:val="36"/>
          <w:lang w:val="en-US" w:eastAsia="zh-CN"/>
        </w:rPr>
        <w:t>审</w:t>
      </w:r>
      <w:r>
        <w:rPr>
          <w:rFonts w:hint="default" w:ascii="Times New Roman" w:hAnsi="Times New Roman" w:eastAsia="黑体" w:cs="Times New Roman"/>
          <w:bCs/>
          <w:sz w:val="28"/>
          <w:szCs w:val="36"/>
        </w:rPr>
        <w:t>办法前附表</w:t>
      </w:r>
      <w:r>
        <w:rPr>
          <w:rFonts w:hint="eastAsia" w:ascii="Times New Roman" w:hAnsi="Times New Roman" w:eastAsia="黑体" w:cs="Times New Roman"/>
          <w:bCs/>
          <w:sz w:val="28"/>
          <w:szCs w:val="36"/>
          <w:lang w:eastAsia="zh-CN"/>
        </w:rPr>
        <w:t>（</w:t>
      </w:r>
      <w:r>
        <w:rPr>
          <w:rFonts w:hint="eastAsia" w:ascii="Times New Roman" w:hAnsi="Times New Roman" w:eastAsia="黑体" w:cs="Times New Roman"/>
          <w:bCs/>
          <w:sz w:val="28"/>
          <w:szCs w:val="36"/>
          <w:lang w:val="en-US" w:eastAsia="zh-CN"/>
        </w:rPr>
        <w:t>最低价法</w:t>
      </w:r>
      <w:r>
        <w:rPr>
          <w:rFonts w:hint="eastAsia" w:ascii="Times New Roman" w:hAnsi="Times New Roman" w:eastAsia="黑体" w:cs="Times New Roman"/>
          <w:bCs/>
          <w:sz w:val="28"/>
          <w:szCs w:val="36"/>
          <w:lang w:eastAsia="zh-CN"/>
        </w:rPr>
        <w:t>）</w:t>
      </w:r>
    </w:p>
    <w:p>
      <w:pPr>
        <w:pStyle w:val="7"/>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lang w:val="en-US" w:eastAsia="zh-CN"/>
        </w:rPr>
      </w:pPr>
      <w:bookmarkStart w:id="53" w:name="_Toc3834"/>
      <w:bookmarkStart w:id="54" w:name="_Toc14847"/>
      <w:bookmarkStart w:id="55" w:name="_Toc457482536"/>
      <w:bookmarkStart w:id="56" w:name="_Toc447808662"/>
      <w:bookmarkStart w:id="57" w:name="_Toc152045528"/>
      <w:bookmarkStart w:id="58" w:name="_Toc152042304"/>
      <w:bookmarkStart w:id="59" w:name="_Toc144974496"/>
      <w:r>
        <w:rPr>
          <w:rFonts w:hint="eastAsia"/>
        </w:rPr>
        <w:t>前附表</w:t>
      </w:r>
      <w:bookmarkEnd w:id="53"/>
      <w:bookmarkEnd w:id="54"/>
      <w:bookmarkEnd w:id="55"/>
      <w:bookmarkEnd w:id="56"/>
      <w:bookmarkEnd w:id="57"/>
      <w:bookmarkEnd w:id="58"/>
      <w:bookmarkEnd w:id="59"/>
      <w:r>
        <w:rPr>
          <w:rFonts w:hint="eastAsia"/>
        </w:rPr>
        <w:t>A</w:t>
      </w:r>
    </w:p>
    <w:tbl>
      <w:tblPr>
        <w:tblStyle w:val="21"/>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8"/>
        <w:gridCol w:w="967"/>
        <w:gridCol w:w="1283"/>
        <w:gridCol w:w="6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75" w:type="dxa"/>
            <w:gridSpan w:val="2"/>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b/>
                <w:bCs/>
                <w:kern w:val="0"/>
                <w:sz w:val="21"/>
                <w:szCs w:val="21"/>
              </w:rPr>
              <w:t>条款号</w:t>
            </w:r>
          </w:p>
        </w:tc>
        <w:tc>
          <w:tcPr>
            <w:tcW w:w="1283" w:type="dxa"/>
            <w:vAlign w:val="center"/>
          </w:tcPr>
          <w:p>
            <w:pPr>
              <w:widowControl/>
              <w:ind w:firstLine="105" w:firstLineChars="50"/>
              <w:jc w:val="center"/>
              <w:rPr>
                <w:rFonts w:hint="eastAsia" w:ascii="宋体" w:hAnsi="宋体" w:eastAsia="宋体" w:cs="宋体"/>
                <w:color w:val="auto"/>
                <w:kern w:val="0"/>
                <w:sz w:val="21"/>
                <w:szCs w:val="21"/>
                <w:highlight w:val="none"/>
              </w:rPr>
            </w:pPr>
            <w:r>
              <w:rPr>
                <w:rFonts w:hint="eastAsia" w:ascii="宋体" w:hAnsi="宋体" w:eastAsia="宋体" w:cs="宋体"/>
                <w:b/>
                <w:bCs/>
                <w:kern w:val="0"/>
                <w:sz w:val="21"/>
                <w:szCs w:val="21"/>
              </w:rPr>
              <w:t>评审因素</w:t>
            </w:r>
          </w:p>
        </w:tc>
        <w:tc>
          <w:tcPr>
            <w:tcW w:w="6359" w:type="dxa"/>
            <w:vAlign w:val="center"/>
          </w:tcPr>
          <w:p>
            <w:pPr>
              <w:widowControl/>
              <w:ind w:firstLine="105" w:firstLineChars="50"/>
              <w:jc w:val="center"/>
              <w:rPr>
                <w:rFonts w:hint="eastAsia" w:ascii="宋体" w:hAnsi="宋体" w:eastAsia="宋体" w:cs="宋体"/>
                <w:color w:val="auto"/>
                <w:kern w:val="0"/>
                <w:sz w:val="21"/>
                <w:szCs w:val="21"/>
                <w:highlight w:val="none"/>
              </w:rPr>
            </w:pPr>
            <w:r>
              <w:rPr>
                <w:rFonts w:hint="eastAsia" w:ascii="宋体" w:hAnsi="宋体" w:eastAsia="宋体" w:cs="宋体"/>
                <w:b/>
                <w:bCs/>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8" w:type="dxa"/>
            <w:vAlign w:val="center"/>
          </w:tcPr>
          <w:p>
            <w:pPr>
              <w:widowControl/>
              <w:jc w:val="center"/>
              <w:rPr>
                <w:rFonts w:hint="eastAsia" w:ascii="宋体" w:hAnsi="宋体" w:eastAsia="宋体" w:cs="宋体"/>
                <w:bCs/>
                <w:color w:val="auto"/>
                <w:kern w:val="0"/>
                <w:sz w:val="21"/>
                <w:szCs w:val="21"/>
                <w:highlight w:val="none"/>
              </w:rPr>
            </w:pPr>
            <w:r>
              <w:rPr>
                <w:rFonts w:hint="eastAsia" w:ascii="宋体" w:hAnsi="宋体" w:eastAsia="宋体" w:cs="宋体"/>
                <w:bCs/>
                <w:kern w:val="0"/>
                <w:sz w:val="21"/>
                <w:szCs w:val="21"/>
              </w:rPr>
              <w:t>1</w:t>
            </w:r>
          </w:p>
        </w:tc>
        <w:tc>
          <w:tcPr>
            <w:tcW w:w="967" w:type="dxa"/>
            <w:vAlign w:val="center"/>
          </w:tcPr>
          <w:p>
            <w:pPr>
              <w:widowControl/>
              <w:jc w:val="center"/>
              <w:rPr>
                <w:rFonts w:hint="eastAsia" w:ascii="宋体" w:hAnsi="宋体" w:eastAsia="宋体" w:cs="宋体"/>
                <w:bCs/>
                <w:color w:val="auto"/>
                <w:kern w:val="0"/>
                <w:sz w:val="21"/>
                <w:szCs w:val="21"/>
                <w:highlight w:val="none"/>
              </w:rPr>
            </w:pPr>
            <w:r>
              <w:rPr>
                <w:rFonts w:hint="eastAsia" w:ascii="宋体" w:hAnsi="宋体" w:eastAsia="宋体" w:cs="宋体"/>
                <w:bCs/>
                <w:kern w:val="0"/>
                <w:sz w:val="21"/>
                <w:szCs w:val="21"/>
              </w:rPr>
              <w:t>评审方法</w:t>
            </w:r>
          </w:p>
        </w:tc>
        <w:tc>
          <w:tcPr>
            <w:tcW w:w="1283" w:type="dxa"/>
            <w:tcMar>
              <w:left w:w="75" w:type="dxa"/>
            </w:tcMar>
            <w:vAlign w:val="center"/>
          </w:tcPr>
          <w:p>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成交候选人</w:t>
            </w:r>
          </w:p>
          <w:p>
            <w:pPr>
              <w:widowControl/>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kern w:val="0"/>
                <w:sz w:val="21"/>
                <w:szCs w:val="21"/>
              </w:rPr>
              <w:t>排序方法</w:t>
            </w:r>
          </w:p>
        </w:tc>
        <w:tc>
          <w:tcPr>
            <w:tcW w:w="6359" w:type="dxa"/>
            <w:tcMar>
              <w:left w:w="75" w:type="dxa"/>
            </w:tcMar>
            <w:vAlign w:val="center"/>
          </w:tcPr>
          <w:p>
            <w:pPr>
              <w:spacing w:line="44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按评审价由低到高的顺序依次推荐成交候选人。</w:t>
            </w:r>
            <w:r>
              <w:rPr>
                <w:rFonts w:hint="eastAsia" w:ascii="宋体" w:hAnsi="宋体" w:eastAsia="宋体" w:cs="宋体"/>
                <w:sz w:val="21"/>
                <w:szCs w:val="21"/>
                <w:highlight w:val="none"/>
                <w:lang w:val="en-US" w:eastAsia="zh-CN"/>
              </w:rPr>
              <w:t>评审价</w:t>
            </w:r>
            <w:r>
              <w:rPr>
                <w:rFonts w:hint="eastAsia" w:ascii="宋体" w:hAnsi="宋体" w:eastAsia="宋体" w:cs="宋体"/>
                <w:sz w:val="21"/>
                <w:szCs w:val="21"/>
                <w:highlight w:val="none"/>
                <w:lang w:eastAsia="zh-CN"/>
              </w:rPr>
              <w:t>相等时，</w:t>
            </w:r>
            <w:r>
              <w:rPr>
                <w:rFonts w:hint="eastAsia" w:ascii="宋体" w:hAnsi="宋体" w:eastAsia="宋体" w:cs="宋体"/>
                <w:sz w:val="21"/>
                <w:szCs w:val="21"/>
                <w:highlight w:val="none"/>
                <w:lang w:val="en-US" w:eastAsia="zh-CN"/>
              </w:rPr>
              <w:t>评审</w:t>
            </w:r>
            <w:r>
              <w:rPr>
                <w:rFonts w:hint="eastAsia" w:ascii="宋体" w:hAnsi="宋体" w:eastAsia="宋体" w:cs="宋体"/>
                <w:sz w:val="21"/>
                <w:szCs w:val="21"/>
                <w:highlight w:val="none"/>
                <w:lang w:eastAsia="zh-CN"/>
              </w:rPr>
              <w:t>委员会依次按照以下优先顺序推荐</w:t>
            </w:r>
            <w:r>
              <w:rPr>
                <w:rFonts w:hint="eastAsia" w:ascii="宋体" w:hAnsi="宋体" w:eastAsia="宋体" w:cs="宋体"/>
                <w:sz w:val="21"/>
                <w:szCs w:val="21"/>
                <w:highlight w:val="none"/>
                <w:lang w:val="en-US" w:eastAsia="zh-CN"/>
              </w:rPr>
              <w:t>成交</w:t>
            </w:r>
            <w:r>
              <w:rPr>
                <w:rFonts w:hint="eastAsia" w:ascii="宋体" w:hAnsi="宋体" w:eastAsia="宋体" w:cs="宋体"/>
                <w:sz w:val="21"/>
                <w:szCs w:val="21"/>
                <w:highlight w:val="none"/>
                <w:lang w:eastAsia="zh-CN"/>
              </w:rPr>
              <w:t>候选人：</w:t>
            </w:r>
          </w:p>
          <w:p>
            <w:pPr>
              <w:spacing w:line="44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w:t>
            </w:r>
            <w:r>
              <w:rPr>
                <w:rFonts w:hint="eastAsia" w:ascii="宋体" w:hAnsi="宋体" w:eastAsia="宋体" w:cs="宋体"/>
                <w:sz w:val="21"/>
                <w:szCs w:val="21"/>
                <w:highlight w:val="none"/>
                <w:lang w:val="en-US" w:eastAsia="zh-CN"/>
              </w:rPr>
              <w:t>响应文件提供的合格业绩数量多的投标人优先</w:t>
            </w:r>
            <w:r>
              <w:rPr>
                <w:rFonts w:hint="eastAsia" w:ascii="宋体" w:hAnsi="宋体" w:eastAsia="宋体" w:cs="宋体"/>
                <w:sz w:val="21"/>
                <w:szCs w:val="21"/>
                <w:highlight w:val="none"/>
                <w:lang w:eastAsia="zh-CN"/>
              </w:rPr>
              <w:t>；</w:t>
            </w:r>
          </w:p>
          <w:p>
            <w:pPr>
              <w:spacing w:line="440" w:lineRule="exact"/>
              <w:rPr>
                <w:rFonts w:hint="eastAsia" w:ascii="宋体" w:hAnsi="宋体" w:eastAsia="宋体" w:cs="宋体"/>
                <w:color w:val="auto"/>
                <w:kern w:val="2"/>
                <w:sz w:val="21"/>
                <w:szCs w:val="21"/>
                <w:highlight w:val="none"/>
                <w:lang w:val="en-US"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）递交响应文件时间早的</w:t>
            </w: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lang w:eastAsia="zh-CN"/>
              </w:rPr>
              <w:t>优先。</w:t>
            </w:r>
          </w:p>
        </w:tc>
      </w:tr>
    </w:tbl>
    <w:p>
      <w:pPr>
        <w:adjustRightInd w:val="0"/>
        <w:snapToGrid w:val="0"/>
        <w:spacing w:line="360" w:lineRule="auto"/>
        <w:ind w:firstLine="420"/>
        <w:textAlignment w:val="baseline"/>
        <w:rPr>
          <w:rFonts w:hint="eastAsia" w:ascii="宋体" w:hAnsi="宋体" w:eastAsia="宋体" w:cs="宋体"/>
          <w:color w:val="auto"/>
          <w:sz w:val="21"/>
          <w:szCs w:val="21"/>
          <w:highlight w:val="none"/>
        </w:rPr>
      </w:pPr>
    </w:p>
    <w:tbl>
      <w:tblPr>
        <w:tblStyle w:val="21"/>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912"/>
        <w:gridCol w:w="2000"/>
        <w:gridCol w:w="5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596" w:type="dxa"/>
            <w:gridSpan w:val="2"/>
            <w:vAlign w:val="center"/>
          </w:tcPr>
          <w:p>
            <w:pPr>
              <w:widowControl/>
              <w:spacing w:line="360" w:lineRule="atLeas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条款号</w:t>
            </w:r>
          </w:p>
        </w:tc>
        <w:tc>
          <w:tcPr>
            <w:tcW w:w="2000" w:type="dxa"/>
            <w:vAlign w:val="center"/>
          </w:tcPr>
          <w:p>
            <w:pPr>
              <w:widowControl/>
              <w:spacing w:line="360" w:lineRule="atLeas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评审因素</w:t>
            </w:r>
          </w:p>
        </w:tc>
        <w:tc>
          <w:tcPr>
            <w:tcW w:w="5602" w:type="dxa"/>
            <w:vAlign w:val="center"/>
          </w:tcPr>
          <w:p>
            <w:pPr>
              <w:widowControl/>
              <w:spacing w:line="360" w:lineRule="atLeas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2.1.1</w:t>
            </w:r>
          </w:p>
        </w:tc>
        <w:tc>
          <w:tcPr>
            <w:tcW w:w="912" w:type="dxa"/>
            <w:vMerge w:val="restart"/>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形式评审标准</w:t>
            </w:r>
          </w:p>
        </w:tc>
        <w:tc>
          <w:tcPr>
            <w:tcW w:w="2000" w:type="dxa"/>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名称</w:t>
            </w:r>
          </w:p>
        </w:tc>
        <w:tc>
          <w:tcPr>
            <w:tcW w:w="5602" w:type="dxa"/>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与营业执照、资质证书</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如有</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912"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2000" w:type="dxa"/>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格式</w:t>
            </w:r>
          </w:p>
        </w:tc>
        <w:tc>
          <w:tcPr>
            <w:tcW w:w="5602" w:type="dxa"/>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符合第</w:t>
            </w:r>
            <w:r>
              <w:rPr>
                <w:rFonts w:hint="eastAsia" w:ascii="宋体" w:hAnsi="宋体" w:eastAsia="宋体" w:cs="宋体"/>
                <w:color w:val="auto"/>
                <w:kern w:val="0"/>
                <w:sz w:val="21"/>
                <w:szCs w:val="21"/>
                <w:highlight w:val="none"/>
                <w:lang w:val="en-US" w:eastAsia="zh-CN"/>
              </w:rPr>
              <w:t>六</w:t>
            </w:r>
            <w:r>
              <w:rPr>
                <w:rFonts w:hint="eastAsia" w:ascii="宋体" w:hAnsi="宋体" w:eastAsia="宋体" w:cs="宋体"/>
                <w:color w:val="auto"/>
                <w:kern w:val="0"/>
                <w:sz w:val="21"/>
                <w:szCs w:val="21"/>
                <w:highlight w:val="none"/>
              </w:rPr>
              <w:t>章“</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912"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2000" w:type="dxa"/>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签名、</w:t>
            </w:r>
            <w:r>
              <w:rPr>
                <w:rFonts w:hint="eastAsia" w:ascii="宋体" w:hAnsi="宋体" w:eastAsia="宋体" w:cs="宋体"/>
                <w:color w:val="auto"/>
                <w:kern w:val="0"/>
                <w:sz w:val="21"/>
                <w:szCs w:val="21"/>
                <w:highlight w:val="none"/>
              </w:rPr>
              <w:t>盖章</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装订</w:t>
            </w:r>
          </w:p>
        </w:tc>
        <w:tc>
          <w:tcPr>
            <w:tcW w:w="5602" w:type="dxa"/>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符合第二章“</w:t>
            </w:r>
            <w:r>
              <w:rPr>
                <w:rFonts w:hint="eastAsia" w:ascii="宋体" w:hAnsi="宋体" w:eastAsia="宋体" w:cs="宋体"/>
                <w:bCs/>
                <w:color w:val="auto"/>
                <w:kern w:val="0"/>
                <w:sz w:val="21"/>
                <w:szCs w:val="21"/>
                <w:highlight w:val="none"/>
                <w:lang w:eastAsia="zh-CN"/>
              </w:rPr>
              <w:t>供应商</w:t>
            </w:r>
            <w:r>
              <w:rPr>
                <w:rFonts w:hint="eastAsia" w:ascii="宋体" w:hAnsi="宋体" w:eastAsia="宋体" w:cs="宋体"/>
                <w:bCs/>
                <w:color w:val="auto"/>
                <w:kern w:val="0"/>
                <w:sz w:val="21"/>
                <w:szCs w:val="21"/>
                <w:highlight w:val="none"/>
              </w:rPr>
              <w:t>须知”第3.</w:t>
            </w:r>
            <w:r>
              <w:rPr>
                <w:rFonts w:hint="eastAsia" w:ascii="宋体" w:hAnsi="宋体" w:eastAsia="宋体" w:cs="宋体"/>
                <w:bCs/>
                <w:color w:val="auto"/>
                <w:kern w:val="0"/>
                <w:sz w:val="21"/>
                <w:szCs w:val="21"/>
                <w:highlight w:val="none"/>
                <w:lang w:val="en-US" w:eastAsia="zh-CN"/>
              </w:rPr>
              <w:t>6</w:t>
            </w:r>
            <w:r>
              <w:rPr>
                <w:rFonts w:hint="eastAsia" w:ascii="宋体" w:hAnsi="宋体" w:eastAsia="宋体" w:cs="宋体"/>
                <w:bCs/>
                <w:color w:val="auto"/>
                <w:kern w:val="0"/>
                <w:sz w:val="21"/>
                <w:szCs w:val="21"/>
                <w:highlight w:val="none"/>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912"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2000" w:type="dxa"/>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未出现投标报价</w:t>
            </w:r>
          </w:p>
        </w:tc>
        <w:tc>
          <w:tcPr>
            <w:tcW w:w="5602" w:type="dxa"/>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商务技术文件中未出现有关投标报价的内容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2.1.2</w:t>
            </w:r>
          </w:p>
        </w:tc>
        <w:tc>
          <w:tcPr>
            <w:tcW w:w="912" w:type="dxa"/>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资格评审标准</w:t>
            </w:r>
          </w:p>
        </w:tc>
        <w:tc>
          <w:tcPr>
            <w:tcW w:w="2000" w:type="dxa"/>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资质条件、能力、信誉</w:t>
            </w:r>
          </w:p>
        </w:tc>
        <w:tc>
          <w:tcPr>
            <w:tcW w:w="5602" w:type="dxa"/>
            <w:tcMar>
              <w:left w:w="75" w:type="dxa"/>
            </w:tcMar>
            <w:vAlign w:val="center"/>
          </w:tcPr>
          <w:p>
            <w:pPr>
              <w:adjustRightInd w:val="0"/>
              <w:snapToGrid w:val="0"/>
              <w:spacing w:line="360" w:lineRule="atLeas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符合第二章“</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须知”第1.</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2.1.3</w:t>
            </w:r>
          </w:p>
        </w:tc>
        <w:tc>
          <w:tcPr>
            <w:tcW w:w="912" w:type="dxa"/>
            <w:vMerge w:val="restart"/>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响应性评审标准</w:t>
            </w:r>
          </w:p>
        </w:tc>
        <w:tc>
          <w:tcPr>
            <w:tcW w:w="2000" w:type="dxa"/>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投标</w:t>
            </w:r>
            <w:r>
              <w:rPr>
                <w:rFonts w:hint="eastAsia" w:ascii="宋体" w:hAnsi="宋体" w:eastAsia="宋体" w:cs="宋体"/>
                <w:color w:val="auto"/>
                <w:kern w:val="0"/>
                <w:sz w:val="21"/>
                <w:szCs w:val="21"/>
                <w:highlight w:val="none"/>
              </w:rPr>
              <w:t>内容</w:t>
            </w:r>
          </w:p>
        </w:tc>
        <w:tc>
          <w:tcPr>
            <w:tcW w:w="5602" w:type="dxa"/>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符合</w:t>
            </w:r>
            <w:r>
              <w:rPr>
                <w:rFonts w:hint="eastAsia" w:ascii="宋体" w:hAnsi="宋体" w:eastAsia="宋体" w:cs="宋体"/>
                <w:color w:val="auto"/>
                <w:sz w:val="21"/>
                <w:szCs w:val="21"/>
                <w:highlight w:val="none"/>
              </w:rPr>
              <w:t>第一章“</w:t>
            </w:r>
            <w:r>
              <w:rPr>
                <w:rFonts w:hint="eastAsia" w:ascii="宋体" w:hAnsi="宋体" w:eastAsia="宋体" w:cs="宋体"/>
                <w:color w:val="auto"/>
                <w:sz w:val="21"/>
                <w:szCs w:val="21"/>
                <w:highlight w:val="none"/>
                <w:lang w:val="en-US" w:eastAsia="zh-CN"/>
              </w:rPr>
              <w:t>采购公告</w:t>
            </w:r>
            <w:r>
              <w:rPr>
                <w:rFonts w:hint="eastAsia" w:ascii="宋体" w:hAnsi="宋体" w:eastAsia="宋体" w:cs="宋体"/>
                <w:color w:val="auto"/>
                <w:sz w:val="21"/>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912"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2000" w:type="dxa"/>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工期</w:t>
            </w:r>
          </w:p>
        </w:tc>
        <w:tc>
          <w:tcPr>
            <w:tcW w:w="5602" w:type="dxa"/>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符合</w:t>
            </w:r>
            <w:r>
              <w:rPr>
                <w:rFonts w:hint="eastAsia" w:ascii="宋体" w:hAnsi="宋体" w:eastAsia="宋体" w:cs="宋体"/>
                <w:color w:val="auto"/>
                <w:sz w:val="21"/>
                <w:szCs w:val="21"/>
                <w:highlight w:val="none"/>
              </w:rPr>
              <w:t>第一章“</w:t>
            </w:r>
            <w:r>
              <w:rPr>
                <w:rFonts w:hint="eastAsia" w:ascii="宋体" w:hAnsi="宋体" w:eastAsia="宋体" w:cs="宋体"/>
                <w:color w:val="auto"/>
                <w:sz w:val="21"/>
                <w:szCs w:val="21"/>
                <w:highlight w:val="none"/>
                <w:lang w:val="en-US" w:eastAsia="zh-CN"/>
              </w:rPr>
              <w:t>采购公告</w:t>
            </w:r>
            <w:r>
              <w:rPr>
                <w:rFonts w:hint="eastAsia" w:ascii="宋体" w:hAnsi="宋体" w:eastAsia="宋体" w:cs="宋体"/>
                <w:color w:val="auto"/>
                <w:sz w:val="21"/>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912"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2000" w:type="dxa"/>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质量要求</w:t>
            </w:r>
          </w:p>
        </w:tc>
        <w:tc>
          <w:tcPr>
            <w:tcW w:w="5602" w:type="dxa"/>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符合第二章“</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须知”第1.</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912"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2000" w:type="dxa"/>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响应有效期</w:t>
            </w:r>
          </w:p>
        </w:tc>
        <w:tc>
          <w:tcPr>
            <w:tcW w:w="5602" w:type="dxa"/>
            <w:tcMar>
              <w:left w:w="75" w:type="dxa"/>
            </w:tcMar>
            <w:vAlign w:val="center"/>
          </w:tcPr>
          <w:p>
            <w:pPr>
              <w:adjustRightInd w:val="0"/>
              <w:snapToGrid w:val="0"/>
              <w:spacing w:line="360" w:lineRule="atLeas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符合第二章“</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912"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2000" w:type="dxa"/>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响应保证金</w:t>
            </w:r>
          </w:p>
        </w:tc>
        <w:tc>
          <w:tcPr>
            <w:tcW w:w="5602" w:type="dxa"/>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符合</w:t>
            </w:r>
            <w:r>
              <w:rPr>
                <w:rFonts w:hint="eastAsia" w:ascii="宋体" w:hAnsi="宋体" w:eastAsia="宋体" w:cs="宋体"/>
                <w:color w:val="auto"/>
                <w:sz w:val="21"/>
                <w:szCs w:val="21"/>
                <w:highlight w:val="none"/>
              </w:rPr>
              <w:t>第一章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采购公告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第7项规定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912"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2000"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联合体</w:t>
            </w:r>
          </w:p>
        </w:tc>
        <w:tc>
          <w:tcPr>
            <w:tcW w:w="5602"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912"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2000"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分包</w:t>
            </w:r>
          </w:p>
        </w:tc>
        <w:tc>
          <w:tcPr>
            <w:tcW w:w="5602"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912"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2000"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报价</w:t>
            </w:r>
          </w:p>
        </w:tc>
        <w:tc>
          <w:tcPr>
            <w:tcW w:w="5602"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（1）报价未超过</w:t>
            </w:r>
            <w:r>
              <w:rPr>
                <w:rFonts w:hint="eastAsia" w:ascii="宋体" w:hAnsi="宋体" w:eastAsia="宋体" w:cs="宋体"/>
                <w:color w:val="auto"/>
                <w:sz w:val="21"/>
                <w:szCs w:val="21"/>
                <w:highlight w:val="none"/>
                <w:lang w:eastAsia="zh-CN"/>
              </w:rPr>
              <w:t>询比文件</w:t>
            </w:r>
            <w:r>
              <w:rPr>
                <w:rFonts w:hint="eastAsia" w:ascii="宋体" w:hAnsi="宋体" w:eastAsia="宋体" w:cs="宋体"/>
                <w:color w:val="auto"/>
                <w:sz w:val="21"/>
                <w:szCs w:val="21"/>
                <w:highlight w:val="none"/>
              </w:rPr>
              <w:t>设定的最高限价。</w:t>
            </w:r>
          </w:p>
          <w:p>
            <w:pPr>
              <w:widowControl/>
              <w:adjustRightInd w:val="0"/>
              <w:snapToGrid w:val="0"/>
              <w:spacing w:line="360" w:lineRule="atLeas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）同一</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未递交两个以上不同的报价。</w:t>
            </w:r>
          </w:p>
          <w:p>
            <w:pPr>
              <w:widowControl/>
              <w:adjustRightInd w:val="0"/>
              <w:snapToGrid w:val="0"/>
              <w:spacing w:line="360" w:lineRule="atLeast"/>
              <w:ind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lang w:val="en-US" w:eastAsia="zh-CN"/>
              </w:rPr>
              <w:t>按</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提供的书面</w:t>
            </w:r>
            <w:r>
              <w:rPr>
                <w:rFonts w:hint="eastAsia" w:ascii="宋体" w:hAnsi="宋体" w:eastAsia="宋体" w:cs="宋体"/>
                <w:color w:val="auto"/>
                <w:sz w:val="21"/>
                <w:szCs w:val="21"/>
                <w:highlight w:val="none"/>
                <w:lang w:eastAsia="zh-CN"/>
              </w:rPr>
              <w:t>报价清单</w:t>
            </w:r>
            <w:r>
              <w:rPr>
                <w:rFonts w:hint="eastAsia" w:ascii="宋体" w:hAnsi="宋体" w:eastAsia="宋体" w:cs="宋体"/>
                <w:color w:val="auto"/>
                <w:sz w:val="21"/>
                <w:szCs w:val="21"/>
                <w:highlight w:val="none"/>
                <w:lang w:val="en-US" w:eastAsia="zh-CN"/>
              </w:rPr>
              <w:t>填写了报价，且未修改报价清单说明、数量等实质性内容</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912"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2000" w:type="dxa"/>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其他实质性要求</w:t>
            </w:r>
          </w:p>
        </w:tc>
        <w:tc>
          <w:tcPr>
            <w:tcW w:w="5602" w:type="dxa"/>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w:t>
            </w:r>
            <w:r>
              <w:rPr>
                <w:rFonts w:hint="eastAsia" w:ascii="宋体" w:hAnsi="宋体" w:eastAsia="宋体" w:cs="宋体"/>
                <w:color w:val="auto"/>
                <w:kern w:val="0"/>
                <w:sz w:val="21"/>
                <w:szCs w:val="21"/>
                <w:highlight w:val="none"/>
                <w:lang w:eastAsia="zh-CN"/>
              </w:rPr>
              <w:t>询比文件</w:t>
            </w:r>
            <w:r>
              <w:rPr>
                <w:rFonts w:hint="eastAsia" w:ascii="宋体" w:hAnsi="宋体" w:eastAsia="宋体" w:cs="宋体"/>
                <w:color w:val="auto"/>
                <w:kern w:val="0"/>
                <w:sz w:val="21"/>
                <w:szCs w:val="21"/>
                <w:highlight w:val="none"/>
              </w:rPr>
              <w:t>的其他实质性要求和条件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198" w:type="dxa"/>
            <w:gridSpan w:val="4"/>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b/>
                <w:bCs/>
                <w:sz w:val="21"/>
                <w:szCs w:val="21"/>
              </w:rPr>
              <w:t>响应文件不符合以上条件之一的，对该响应文件作否决其</w:t>
            </w:r>
            <w:r>
              <w:rPr>
                <w:rFonts w:hint="eastAsia" w:ascii="宋体" w:hAnsi="宋体" w:eastAsia="宋体" w:cs="宋体"/>
                <w:b/>
                <w:bCs/>
                <w:sz w:val="21"/>
                <w:szCs w:val="21"/>
                <w:lang w:eastAsia="zh-CN"/>
              </w:rPr>
              <w:t>响应</w:t>
            </w:r>
            <w:r>
              <w:rPr>
                <w:rFonts w:hint="eastAsia" w:ascii="宋体" w:hAnsi="宋体" w:eastAsia="宋体" w:cs="宋体"/>
                <w:b/>
                <w:bCs/>
                <w:sz w:val="21"/>
                <w:szCs w:val="21"/>
              </w:rPr>
              <w:t>处理。</w:t>
            </w:r>
          </w:p>
        </w:tc>
      </w:tr>
    </w:tbl>
    <w:p>
      <w:pPr>
        <w:pStyle w:val="10"/>
      </w:pPr>
    </w:p>
    <w:p>
      <w:pPr>
        <w:rPr>
          <w:rFonts w:hint="eastAsia"/>
        </w:rPr>
      </w:pPr>
      <w:r>
        <w:rPr>
          <w:rFonts w:hint="eastAsia"/>
        </w:rPr>
        <w:br w:type="page"/>
      </w:r>
    </w:p>
    <w:p>
      <w:pPr>
        <w:pStyle w:val="7"/>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rPr>
      </w:pPr>
      <w:r>
        <w:rPr>
          <w:rFonts w:hint="eastAsia"/>
        </w:rPr>
        <w:t>前附表B</w:t>
      </w:r>
    </w:p>
    <w:tbl>
      <w:tblPr>
        <w:tblStyle w:val="21"/>
        <w:tblW w:w="53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1861"/>
        <w:gridCol w:w="6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6" w:type="dxa"/>
            <w:vAlign w:val="center"/>
          </w:tcPr>
          <w:p>
            <w:pPr>
              <w:pStyle w:val="10"/>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条款号</w:t>
            </w:r>
          </w:p>
        </w:tc>
        <w:tc>
          <w:tcPr>
            <w:tcW w:w="1861"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条款内容</w:t>
            </w:r>
          </w:p>
        </w:tc>
        <w:tc>
          <w:tcPr>
            <w:tcW w:w="6393" w:type="dxa"/>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926" w:type="dxa"/>
            <w:vAlign w:val="center"/>
          </w:tcPr>
          <w:p>
            <w:pPr>
              <w:pStyle w:val="10"/>
              <w:keepNext w:val="0"/>
              <w:keepLines w:val="0"/>
              <w:pageBreakBefore w:val="0"/>
              <w:widowControl w:val="0"/>
              <w:kinsoku/>
              <w:wordWrap/>
              <w:overflowPunct/>
              <w:topLinePunct w:val="0"/>
              <w:autoSpaceDE/>
              <w:autoSpaceDN/>
              <w:bidi w:val="0"/>
              <w:adjustRightInd w:val="0"/>
              <w:snapToGrid w:val="0"/>
              <w:spacing w:after="0" w:line="0" w:lineRule="atLeas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w:t>
            </w:r>
          </w:p>
        </w:tc>
        <w:tc>
          <w:tcPr>
            <w:tcW w:w="186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1"/>
                <w:szCs w:val="21"/>
                <w:highlight w:val="none"/>
                <w:lang w:val="en-US" w:eastAsia="zh-CN"/>
              </w:rPr>
            </w:pPr>
            <w:r>
              <w:rPr>
                <w:rFonts w:ascii="Times New Roman" w:hAnsi="Times New Roman" w:cs="Times New Roman"/>
                <w:szCs w:val="21"/>
              </w:rPr>
              <w:t>评审价计算</w:t>
            </w:r>
          </w:p>
        </w:tc>
        <w:tc>
          <w:tcPr>
            <w:tcW w:w="639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1"/>
                <w:szCs w:val="21"/>
                <w:highlight w:val="none"/>
                <w:lang w:val="en-US" w:eastAsia="zh-CN"/>
              </w:rPr>
            </w:pPr>
            <w:r>
              <w:rPr>
                <w:rFonts w:ascii="Times New Roman" w:hAnsi="Times New Roman" w:cs="Times New Roman"/>
                <w:kern w:val="0"/>
                <w:szCs w:val="21"/>
              </w:rPr>
              <w:t>评审价＝</w:t>
            </w:r>
            <w:r>
              <w:rPr>
                <w:rFonts w:hint="eastAsia" w:ascii="Times New Roman" w:hAnsi="Times New Roman" w:cs="Times New Roman"/>
                <w:kern w:val="0"/>
                <w:szCs w:val="21"/>
              </w:rPr>
              <w:t>修正后的报价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80" w:type="dxa"/>
            <w:gridSpan w:val="3"/>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ascii="Times New Roman" w:hAnsi="Times New Roman" w:cs="Times New Roman"/>
                <w:szCs w:val="21"/>
                <w:highlight w:val="green"/>
              </w:rPr>
            </w:pPr>
            <w:r>
              <w:rPr>
                <w:rFonts w:ascii="Times New Roman" w:hAnsi="Times New Roman" w:cs="Times New Roman"/>
                <w:szCs w:val="21"/>
                <w:highlight w:val="green"/>
              </w:rPr>
              <w:t>需要补充的其他内容：</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eastAsia="宋体" w:cs="宋体"/>
                <w:b/>
                <w:bCs/>
                <w:szCs w:val="21"/>
                <w:highlight w:val="green"/>
              </w:rPr>
            </w:pPr>
            <w:r>
              <w:rPr>
                <w:rFonts w:hint="eastAsia" w:ascii="宋体" w:hAnsi="宋体" w:eastAsia="宋体" w:cs="宋体"/>
                <w:b/>
                <w:bCs/>
                <w:szCs w:val="21"/>
                <w:highlight w:val="green"/>
              </w:rPr>
              <w:t>一、合作单位的选择及成交原则</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eastAsia="宋体" w:cs="宋体"/>
                <w:szCs w:val="21"/>
                <w:highlight w:val="green"/>
              </w:rPr>
            </w:pPr>
            <w:r>
              <w:rPr>
                <w:rFonts w:hint="eastAsia" w:ascii="宋体" w:hAnsi="宋体" w:eastAsia="宋体" w:cs="宋体"/>
                <w:szCs w:val="21"/>
                <w:highlight w:val="green"/>
                <w:lang w:val="en-US" w:eastAsia="zh-CN"/>
              </w:rPr>
              <w:t>1.</w:t>
            </w:r>
            <w:r>
              <w:rPr>
                <w:rFonts w:hint="eastAsia" w:ascii="宋体" w:hAnsi="宋体" w:eastAsia="宋体" w:cs="宋体"/>
                <w:szCs w:val="21"/>
                <w:highlight w:val="green"/>
              </w:rPr>
              <w:t>本次采购活动将采用</w:t>
            </w:r>
            <w:r>
              <w:rPr>
                <w:rFonts w:hint="eastAsia" w:ascii="宋体" w:hAnsi="宋体" w:eastAsia="宋体" w:cs="宋体"/>
                <w:b/>
                <w:bCs/>
                <w:szCs w:val="21"/>
                <w:highlight w:val="green"/>
              </w:rPr>
              <w:t>最低价法</w:t>
            </w:r>
            <w:r>
              <w:rPr>
                <w:rFonts w:hint="eastAsia" w:ascii="宋体" w:hAnsi="宋体" w:eastAsia="宋体" w:cs="宋体"/>
                <w:szCs w:val="21"/>
                <w:highlight w:val="green"/>
              </w:rPr>
              <w:t>进行评审。</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eastAsia="宋体" w:cs="宋体"/>
                <w:szCs w:val="21"/>
                <w:highlight w:val="green"/>
              </w:rPr>
            </w:pPr>
            <w:r>
              <w:rPr>
                <w:rFonts w:hint="eastAsia" w:ascii="宋体" w:hAnsi="宋体" w:eastAsia="宋体" w:cs="宋体"/>
                <w:b/>
                <w:bCs/>
                <w:szCs w:val="21"/>
                <w:highlight w:val="green"/>
              </w:rPr>
              <w:t>最低价法</w:t>
            </w:r>
            <w:r>
              <w:rPr>
                <w:rFonts w:hint="eastAsia" w:ascii="宋体" w:hAnsi="宋体" w:eastAsia="宋体" w:cs="宋体"/>
                <w:szCs w:val="21"/>
                <w:highlight w:val="green"/>
              </w:rPr>
              <w:t>：最低价法是在响应文件满足采购文件实质性要求的前提下，按照供应商经评审的价格由低到高的顺序确定供应商优先次序的方法。</w:t>
            </w:r>
          </w:p>
          <w:p>
            <w:pPr>
              <w:keepNext w:val="0"/>
              <w:keepLines w:val="0"/>
              <w:pageBreakBefore w:val="0"/>
              <w:widowControl w:val="0"/>
              <w:kinsoku/>
              <w:wordWrap/>
              <w:overflowPunct/>
              <w:topLinePunct w:val="0"/>
              <w:autoSpaceDE/>
              <w:autoSpaceDN/>
              <w:bidi w:val="0"/>
              <w:adjustRightInd w:val="0"/>
              <w:spacing w:line="0" w:lineRule="atLeast"/>
              <w:jc w:val="left"/>
              <w:textAlignment w:val="auto"/>
              <w:rPr>
                <w:rFonts w:hint="eastAsia" w:ascii="宋体" w:hAnsi="宋体" w:eastAsia="宋体" w:cs="宋体"/>
                <w:sz w:val="21"/>
                <w:szCs w:val="21"/>
                <w:lang w:val="en-US" w:eastAsia="zh-CN"/>
              </w:rPr>
            </w:pPr>
            <w:r>
              <w:rPr>
                <w:rFonts w:hint="eastAsia" w:ascii="宋体" w:hAnsi="宋体" w:eastAsia="宋体" w:cs="宋体"/>
                <w:szCs w:val="21"/>
                <w:highlight w:val="green"/>
                <w:lang w:val="en-US" w:eastAsia="zh-CN"/>
              </w:rPr>
              <w:t>2.</w:t>
            </w:r>
            <w:r>
              <w:rPr>
                <w:rFonts w:hint="eastAsia" w:ascii="宋体" w:hAnsi="宋体" w:eastAsia="宋体" w:cs="宋体"/>
                <w:szCs w:val="21"/>
                <w:highlight w:val="green"/>
              </w:rPr>
              <w:t>评审委员会应按照</w:t>
            </w:r>
            <w:r>
              <w:rPr>
                <w:rFonts w:hint="eastAsia" w:ascii="宋体" w:hAnsi="宋体" w:eastAsia="宋体" w:cs="宋体"/>
                <w:szCs w:val="21"/>
                <w:highlight w:val="green"/>
                <w:lang w:val="en-US" w:eastAsia="zh-CN"/>
              </w:rPr>
              <w:t>综合报</w:t>
            </w:r>
            <w:r>
              <w:rPr>
                <w:rFonts w:hint="eastAsia" w:ascii="宋体" w:hAnsi="宋体" w:eastAsia="宋体" w:cs="宋体"/>
                <w:szCs w:val="21"/>
                <w:highlight w:val="green"/>
              </w:rPr>
              <w:t>价最低原则确定成交人。</w:t>
            </w:r>
          </w:p>
        </w:tc>
      </w:tr>
    </w:tbl>
    <w:p>
      <w:pPr>
        <w:jc w:val="left"/>
        <w:rPr>
          <w:rFonts w:ascii="Times New Roman" w:hAnsi="Times New Roman" w:eastAsia="黑体" w:cs="Times New Roman"/>
          <w:bCs/>
          <w:sz w:val="24"/>
          <w:szCs w:val="32"/>
        </w:rPr>
      </w:pPr>
    </w:p>
    <w:p>
      <w:pPr>
        <w:jc w:val="left"/>
        <w:rPr>
          <w:rFonts w:ascii="Times New Roman" w:hAnsi="Times New Roman" w:eastAsia="黑体" w:cs="Times New Roman"/>
          <w:bCs/>
          <w:sz w:val="24"/>
          <w:szCs w:val="32"/>
        </w:rPr>
      </w:pPr>
    </w:p>
    <w:p>
      <w:pPr>
        <w:rPr>
          <w:rFonts w:ascii="Times New Roman" w:hAnsi="Times New Roman" w:eastAsia="黑体" w:cs="Times New Roman"/>
          <w:bCs/>
          <w:sz w:val="24"/>
          <w:szCs w:val="32"/>
        </w:rPr>
      </w:pPr>
      <w:r>
        <w:rPr>
          <w:rFonts w:ascii="Times New Roman" w:hAnsi="Times New Roman" w:eastAsia="黑体" w:cs="Times New Roman"/>
          <w:bCs/>
          <w:sz w:val="24"/>
          <w:szCs w:val="32"/>
        </w:rPr>
        <w:br w:type="page"/>
      </w:r>
    </w:p>
    <w:p>
      <w:pPr>
        <w:keepNext/>
        <w:keepLines/>
        <w:spacing w:beforeLines="50"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评审方法</w:t>
      </w:r>
    </w:p>
    <w:p>
      <w:pPr>
        <w:spacing w:line="440" w:lineRule="exact"/>
        <w:ind w:firstLine="420"/>
        <w:rPr>
          <w:rFonts w:ascii="Times New Roman" w:hAnsi="Times New Roman" w:cs="Times New Roman"/>
        </w:rPr>
      </w:pPr>
      <w:r>
        <w:rPr>
          <w:rFonts w:ascii="Times New Roman" w:hAnsi="Times New Roman" w:cs="Times New Roman"/>
        </w:rPr>
        <w:t>本次评审采用</w:t>
      </w:r>
      <w:r>
        <w:rPr>
          <w:rFonts w:hint="eastAsia" w:ascii="Times New Roman" w:hAnsi="Times New Roman" w:cs="Times New Roman"/>
          <w:lang w:eastAsia="zh-CN"/>
        </w:rPr>
        <w:t>最低价法</w:t>
      </w:r>
      <w:r>
        <w:rPr>
          <w:rFonts w:ascii="Times New Roman" w:hAnsi="Times New Roman" w:cs="Times New Roman"/>
        </w:rPr>
        <w:t>。</w:t>
      </w:r>
      <w:r>
        <w:rPr>
          <w:rFonts w:hint="eastAsia" w:ascii="Times New Roman" w:hAnsi="Times New Roman" w:cs="Times New Roman"/>
        </w:rPr>
        <w:t>评审小组</w:t>
      </w:r>
      <w:r>
        <w:rPr>
          <w:rFonts w:ascii="Times New Roman" w:hAnsi="Times New Roman" w:cs="Times New Roman"/>
        </w:rPr>
        <w:t>对满足询比文件</w:t>
      </w:r>
      <w:r>
        <w:rPr>
          <w:rFonts w:hint="default" w:ascii="Times New Roman" w:hAnsi="Times New Roman" w:cs="Times New Roman"/>
        </w:rPr>
        <w:t>实质性要求的</w:t>
      </w:r>
      <w:r>
        <w:rPr>
          <w:rFonts w:hint="eastAsia" w:ascii="Times New Roman" w:hAnsi="Times New Roman" w:cs="Times New Roman"/>
          <w:lang w:val="en-US" w:eastAsia="zh-CN"/>
        </w:rPr>
        <w:t>响应</w:t>
      </w:r>
      <w:r>
        <w:rPr>
          <w:rFonts w:hint="default" w:ascii="Times New Roman" w:hAnsi="Times New Roman" w:cs="Times New Roman"/>
        </w:rPr>
        <w:t>文件，按照</w:t>
      </w:r>
      <w:r>
        <w:rPr>
          <w:rFonts w:hint="eastAsia" w:ascii="Times New Roman" w:hAnsi="Times New Roman" w:cs="Times New Roman"/>
          <w:lang w:val="en-US" w:eastAsia="zh-CN"/>
        </w:rPr>
        <w:t>评审</w:t>
      </w:r>
      <w:r>
        <w:rPr>
          <w:rFonts w:hint="default" w:ascii="Times New Roman" w:hAnsi="Times New Roman" w:cs="Times New Roman"/>
        </w:rPr>
        <w:t>价由低到高的顺序依次推荐</w:t>
      </w:r>
      <w:r>
        <w:rPr>
          <w:rFonts w:hint="eastAsia" w:ascii="Times New Roman" w:hAnsi="Times New Roman" w:cs="Times New Roman"/>
          <w:lang w:eastAsia="zh-CN"/>
        </w:rPr>
        <w:t>成交候选人</w:t>
      </w:r>
      <w:r>
        <w:rPr>
          <w:rFonts w:hint="default" w:ascii="Times New Roman" w:hAnsi="Times New Roman" w:cs="Times New Roman"/>
        </w:rPr>
        <w:t>。如</w:t>
      </w:r>
      <w:r>
        <w:rPr>
          <w:rFonts w:hint="eastAsia" w:ascii="Times New Roman" w:hAnsi="Times New Roman" w:cs="Times New Roman"/>
          <w:lang w:val="en-US" w:eastAsia="zh-CN"/>
        </w:rPr>
        <w:t>报价</w:t>
      </w:r>
      <w:r>
        <w:rPr>
          <w:rFonts w:hint="default" w:ascii="Times New Roman" w:hAnsi="Times New Roman" w:cs="Times New Roman"/>
        </w:rPr>
        <w:t>相同的，按照</w:t>
      </w:r>
      <w:r>
        <w:rPr>
          <w:rFonts w:hint="eastAsia" w:ascii="Times New Roman" w:hAnsi="Times New Roman" w:cs="Times New Roman"/>
          <w:lang w:val="en-US" w:eastAsia="zh-CN"/>
        </w:rPr>
        <w:t>评审</w:t>
      </w:r>
      <w:r>
        <w:rPr>
          <w:rFonts w:hint="default" w:ascii="Times New Roman" w:hAnsi="Times New Roman" w:cs="Times New Roman"/>
        </w:rPr>
        <w:t>办法前附表中的规定确定</w:t>
      </w:r>
      <w:r>
        <w:rPr>
          <w:rFonts w:hint="eastAsia" w:ascii="Times New Roman" w:hAnsi="Times New Roman" w:cs="Times New Roman"/>
          <w:lang w:eastAsia="zh-CN"/>
        </w:rPr>
        <w:t>成交候选人</w:t>
      </w:r>
      <w:r>
        <w:rPr>
          <w:rFonts w:hint="default" w:ascii="Times New Roman" w:hAnsi="Times New Roman" w:cs="Times New Roman"/>
        </w:rPr>
        <w:t>顺序。</w:t>
      </w:r>
    </w:p>
    <w:p>
      <w:pPr>
        <w:keepNext/>
        <w:keepLines/>
        <w:spacing w:beforeLines="50"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cs="Times New Roman"/>
        </w:rPr>
      </w:pPr>
      <w:r>
        <w:rPr>
          <w:rFonts w:ascii="Times New Roman" w:hAnsi="Times New Roman" w:cs="Times New Roman"/>
        </w:rPr>
        <w:t>2.1.1 形式评审标准：见评审办法前附表。</w:t>
      </w:r>
    </w:p>
    <w:p>
      <w:pPr>
        <w:spacing w:line="440" w:lineRule="exact"/>
        <w:ind w:firstLine="420"/>
        <w:rPr>
          <w:rFonts w:ascii="Times New Roman" w:hAnsi="Times New Roman" w:cs="Times New Roman"/>
        </w:rPr>
      </w:pPr>
      <w:r>
        <w:rPr>
          <w:rFonts w:ascii="Times New Roman" w:hAnsi="Times New Roman" w:cs="Times New Roman"/>
        </w:rPr>
        <w:t>2.1.2 资格评审标准：见评审办法前附表。</w:t>
      </w:r>
    </w:p>
    <w:p>
      <w:pPr>
        <w:spacing w:line="440" w:lineRule="exact"/>
        <w:ind w:firstLine="420"/>
        <w:rPr>
          <w:rFonts w:ascii="Times New Roman" w:hAnsi="Times New Roman" w:cs="Times New Roman"/>
        </w:rPr>
      </w:pPr>
      <w:r>
        <w:rPr>
          <w:rFonts w:ascii="Times New Roman" w:hAnsi="Times New Roman"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2.2 </w:t>
      </w:r>
      <w:r>
        <w:rPr>
          <w:rFonts w:hint="eastAsia" w:ascii="Times New Roman" w:hAnsi="Times New Roman" w:eastAsia="黑体" w:cs="Times New Roman"/>
          <w:bCs/>
          <w:sz w:val="24"/>
          <w:szCs w:val="32"/>
          <w:lang w:val="en-US" w:eastAsia="zh-CN"/>
        </w:rPr>
        <w:t>报价</w:t>
      </w:r>
      <w:r>
        <w:rPr>
          <w:rFonts w:ascii="Times New Roman" w:hAnsi="Times New Roman" w:eastAsia="黑体" w:cs="Times New Roman"/>
          <w:bCs/>
          <w:sz w:val="24"/>
          <w:szCs w:val="32"/>
        </w:rPr>
        <w:t>评审标准</w:t>
      </w:r>
    </w:p>
    <w:p>
      <w:pPr>
        <w:spacing w:line="440" w:lineRule="exact"/>
        <w:ind w:firstLine="420"/>
        <w:rPr>
          <w:rFonts w:ascii="Times New Roman" w:hAnsi="Times New Roman" w:cs="Times New Roman"/>
        </w:rPr>
      </w:pPr>
      <w:r>
        <w:rPr>
          <w:rFonts w:hint="eastAsia" w:ascii="Times New Roman" w:hAnsi="Times New Roman" w:cs="Times New Roman"/>
          <w:lang w:val="en-US" w:eastAsia="zh-CN"/>
        </w:rPr>
        <w:t>评审价计算：</w:t>
      </w:r>
      <w:r>
        <w:rPr>
          <w:rFonts w:ascii="Times New Roman" w:hAnsi="Times New Roman" w:cs="Times New Roman"/>
        </w:rPr>
        <w:t>见评审办法前附表；</w:t>
      </w:r>
    </w:p>
    <w:p>
      <w:pPr>
        <w:keepNext/>
        <w:keepLines/>
        <w:spacing w:beforeLines="50"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eastAsia" w:ascii="Times New Roman" w:hAnsi="Times New Roman" w:cs="Times New Roman"/>
          <w:color w:val="auto"/>
          <w:highlight w:val="none"/>
          <w:lang w:eastAsia="zh-CN"/>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eastAsia" w:ascii="Times New Roman" w:hAnsi="Times New Roman" w:cs="Times New Roman"/>
          <w:color w:val="auto"/>
          <w:highlight w:val="none"/>
          <w:lang w:eastAsia="zh-CN"/>
        </w:rPr>
        <w:t>交货期</w:t>
      </w:r>
      <w:r>
        <w:rPr>
          <w:rFonts w:hint="default" w:ascii="Times New Roman" w:hAnsi="Times New Roman" w:cs="Times New Roman"/>
          <w:color w:val="auto"/>
          <w:highlight w:val="none"/>
        </w:rPr>
        <w:t>、质量标准前后不一致</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且报价函中填写的内容满足询比文件要求</w:t>
      </w:r>
      <w:r>
        <w:rPr>
          <w:rFonts w:hint="default" w:ascii="Times New Roman" w:hAnsi="Times New Roman" w:cs="Times New Roman"/>
          <w:color w:val="auto"/>
          <w:highlight w:val="none"/>
        </w:rPr>
        <w:t>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rPr>
      </w:pPr>
      <w:r>
        <w:rPr>
          <w:rFonts w:hint="eastAsia" w:ascii="Times New Roman" w:hAnsi="Times New Roman" w:cs="Times New Roman"/>
          <w:color w:val="auto"/>
          <w:highlight w:val="none"/>
          <w:lang w:val="en-US" w:eastAsia="zh-CN"/>
        </w:rPr>
        <w:t xml:space="preserve">3.1.3 </w:t>
      </w:r>
      <w:r>
        <w:rPr>
          <w:rFonts w:hint="default" w:ascii="Times New Roman" w:hAnsi="Times New Roman" w:cs="Times New Roman"/>
          <w:color w:val="auto"/>
        </w:rPr>
        <w:t>报价存在</w:t>
      </w:r>
      <w:r>
        <w:rPr>
          <w:rFonts w:hint="eastAsia" w:ascii="Times New Roman" w:hAnsi="Times New Roman" w:cs="Times New Roman"/>
          <w:color w:val="auto"/>
          <w:lang w:val="en-US" w:eastAsia="zh-CN"/>
        </w:rPr>
        <w:t>以下</w:t>
      </w:r>
      <w:r>
        <w:rPr>
          <w:rFonts w:hint="default" w:ascii="Times New Roman" w:hAnsi="Times New Roman" w:cs="Times New Roman"/>
          <w:color w:val="auto"/>
        </w:rPr>
        <w:t>细微偏差的，</w:t>
      </w:r>
      <w:r>
        <w:rPr>
          <w:rFonts w:hint="eastAsia" w:ascii="Times New Roman" w:hAnsi="Times New Roman" w:cs="Times New Roman"/>
          <w:color w:val="auto"/>
          <w:lang w:eastAsia="zh-CN"/>
        </w:rPr>
        <w:t>评审小组</w:t>
      </w:r>
      <w:r>
        <w:rPr>
          <w:rFonts w:hint="default" w:ascii="Times New Roman" w:hAnsi="Times New Roman" w:cs="Times New Roman"/>
          <w:color w:val="auto"/>
        </w:rPr>
        <w:t>按以上原则对报价进行处理，并要求</w:t>
      </w:r>
      <w:r>
        <w:rPr>
          <w:rFonts w:hint="default" w:ascii="Times New Roman" w:hAnsi="Times New Roman" w:cs="Times New Roman"/>
          <w:color w:val="auto"/>
          <w:lang w:eastAsia="zh-CN"/>
        </w:rPr>
        <w:t>供应商</w:t>
      </w:r>
      <w:r>
        <w:rPr>
          <w:rFonts w:hint="default" w:ascii="Times New Roman" w:hAnsi="Times New Roman" w:cs="Times New Roman"/>
          <w:color w:val="auto"/>
        </w:rPr>
        <w:t>书面澄清确认，</w:t>
      </w:r>
      <w:r>
        <w:rPr>
          <w:rFonts w:hint="default" w:ascii="Times New Roman" w:hAnsi="Times New Roman" w:cs="Times New Roman"/>
          <w:color w:val="auto"/>
          <w:lang w:eastAsia="zh-CN"/>
        </w:rPr>
        <w:t>供应商</w:t>
      </w:r>
      <w:r>
        <w:rPr>
          <w:rFonts w:hint="default" w:ascii="Times New Roman" w:hAnsi="Times New Roman" w:cs="Times New Roman"/>
          <w:color w:val="auto"/>
        </w:rPr>
        <w:t>拒不澄清确认的，</w:t>
      </w:r>
      <w:r>
        <w:rPr>
          <w:rFonts w:hint="eastAsia" w:ascii="Times New Roman" w:hAnsi="Times New Roman" w:cs="Times New Roman"/>
          <w:color w:val="auto"/>
          <w:lang w:eastAsia="zh-CN"/>
        </w:rPr>
        <w:t>评审小组</w:t>
      </w:r>
      <w:r>
        <w:rPr>
          <w:rFonts w:hint="default" w:ascii="Times New Roman" w:hAnsi="Times New Roman" w:cs="Times New Roman"/>
          <w:color w:val="auto"/>
        </w:rPr>
        <w:t>应当否决其</w:t>
      </w:r>
      <w:r>
        <w:rPr>
          <w:rFonts w:hint="default" w:ascii="Times New Roman" w:hAnsi="Times New Roman" w:cs="Times New Roman"/>
          <w:color w:val="auto"/>
          <w:lang w:val="en-US" w:eastAsia="zh-CN"/>
        </w:rPr>
        <w:t>报价</w:t>
      </w:r>
      <w:r>
        <w:rPr>
          <w:rFonts w:hint="default" w:ascii="Times New Roman" w:hAnsi="Times New Roman" w:cs="Times New Roman"/>
          <w:color w:val="auto"/>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1</w:t>
      </w:r>
      <w:r>
        <w:rPr>
          <w:rFonts w:hint="eastAsia" w:ascii="Times New Roman" w:hAnsi="Times New Roman" w:cs="Times New Roman"/>
          <w:color w:val="auto"/>
          <w:lang w:eastAsia="zh-CN"/>
        </w:rPr>
        <w:t>）</w:t>
      </w:r>
      <w:r>
        <w:rPr>
          <w:rFonts w:hint="default" w:ascii="Times New Roman" w:hAnsi="Times New Roman" w:cs="Times New Roman"/>
          <w:color w:val="auto"/>
          <w:highlight w:val="none"/>
        </w:rPr>
        <w:t>报价有算术错误的，评审小组按以下原则对报价进行修正，修正的价格经供应商书面确认后具有约束力。供应商不接受修正价格的，评审小组应否决其报价。</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①响应文件中的大写金额与小写金额不一致的，以大写金额为准；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②总价金额与依据单价计算出的结果不一致的，以单价金额为准修正总价，但单价金额小数点有明显错误的除外；</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③当单价与数量相乘不等于合价时，以单价计算为准，如果单价有明显的小数点位置差错，应以标出的合价为准，同时对单价予以修正；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④当各子目的合价累计不等于总价时，应以各子目合价累计数为准，修正总价。</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清单中的报价有其他错误的，评审小组按以下原则对报价进行修正，修正的价格经供应商书面确认后具有约束力。供应商不接受修正价格的，评审小组应否决其报价。</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①在采购人给定的清单中漏报了某个子目的单价、合价或总额价，或所报单价、合价或总额价减少了报价范围，则漏报的子目单价、合价和总额价或单价、合价和总额价中减少的报价内容视为已含入其他子目的单价、合价和总额价之中。</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②在采购人给定的清单中多报了某个子目的单价、合价或总额价，或所报单价、合价或总额价增加了报价范围，则从报价中扣除多报的子目报价或子目报价中增加了报价范围的部分报价。</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③当单价与数量的乘积与合价（金额）虽然一致，但供应商修改了该子目的数量，则其合价按采购人给定的数量乘以供应商所报单价予以修正。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④当各子目的合价累计不等于总价时，应以各子目合价累计数为准，修正总价。</w:t>
      </w:r>
    </w:p>
    <w:p>
      <w:pPr>
        <w:spacing w:line="440" w:lineRule="exact"/>
        <w:ind w:firstLine="420"/>
        <w:rPr>
          <w:rFonts w:hint="default" w:ascii="Times New Roman" w:hAnsi="Times New Roman" w:cs="Times New Roman"/>
          <w:color w:val="auto"/>
        </w:rPr>
      </w:pPr>
      <w:r>
        <w:rPr>
          <w:rFonts w:hint="default" w:ascii="Times New Roman" w:hAnsi="Times New Roman" w:cs="Times New Roman"/>
          <w:color w:val="auto"/>
        </w:rPr>
        <w:t>3.</w:t>
      </w:r>
      <w:r>
        <w:rPr>
          <w:rFonts w:hint="default" w:ascii="Times New Roman" w:hAnsi="Times New Roman" w:cs="Times New Roman"/>
          <w:color w:val="auto"/>
          <w:lang w:val="en-US" w:eastAsia="zh-CN"/>
        </w:rPr>
        <w:t>1</w:t>
      </w:r>
      <w:r>
        <w:rPr>
          <w:rFonts w:hint="default" w:ascii="Times New Roman" w:hAnsi="Times New Roman" w:cs="Times New Roman"/>
          <w:color w:val="auto"/>
        </w:rPr>
        <w:t>.</w:t>
      </w:r>
      <w:r>
        <w:rPr>
          <w:rFonts w:hint="eastAsia" w:ascii="Times New Roman" w:hAnsi="Times New Roman" w:cs="Times New Roman"/>
          <w:color w:val="auto"/>
          <w:lang w:val="en-US" w:eastAsia="zh-CN"/>
        </w:rPr>
        <w:t xml:space="preserve">4 </w:t>
      </w:r>
      <w:r>
        <w:rPr>
          <w:rFonts w:hint="default" w:ascii="Times New Roman" w:hAnsi="Times New Roman" w:cs="Times New Roman"/>
          <w:color w:val="auto"/>
        </w:rPr>
        <w:t>修正后的最终报价若超过最高限价（如有），</w:t>
      </w:r>
      <w:r>
        <w:rPr>
          <w:rFonts w:hint="eastAsia" w:ascii="Times New Roman" w:hAnsi="Times New Roman" w:cs="Times New Roman"/>
          <w:color w:val="auto"/>
          <w:lang w:eastAsia="zh-CN"/>
        </w:rPr>
        <w:t>评审小组</w:t>
      </w:r>
      <w:r>
        <w:rPr>
          <w:rFonts w:hint="default" w:ascii="Times New Roman" w:hAnsi="Times New Roman" w:cs="Times New Roman"/>
          <w:color w:val="auto"/>
        </w:rPr>
        <w:t>应否决其</w:t>
      </w:r>
      <w:r>
        <w:rPr>
          <w:rFonts w:hint="default" w:ascii="Times New Roman" w:hAnsi="Times New Roman" w:cs="Times New Roman"/>
          <w:color w:val="auto"/>
          <w:lang w:val="en-US" w:eastAsia="zh-CN"/>
        </w:rPr>
        <w:t>报价</w:t>
      </w:r>
      <w:r>
        <w:rPr>
          <w:rFonts w:hint="default" w:ascii="Times New Roman" w:hAnsi="Times New Roman" w:cs="Times New Roman"/>
          <w:color w:val="auto"/>
        </w:rPr>
        <w:t>。</w:t>
      </w:r>
    </w:p>
    <w:p>
      <w:pPr>
        <w:spacing w:line="440" w:lineRule="exact"/>
        <w:ind w:firstLine="420"/>
        <w:rPr>
          <w:rFonts w:hint="default"/>
          <w:color w:val="auto"/>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lang w:val="en-US" w:eastAsia="zh-CN"/>
        </w:rPr>
        <w:t xml:space="preserve"> </w:t>
      </w:r>
      <w:r>
        <w:rPr>
          <w:rFonts w:hint="eastAsia" w:ascii="Times New Roman" w:hAnsi="Times New Roman" w:cs="Times New Roman"/>
          <w:color w:val="auto"/>
          <w:szCs w:val="21"/>
          <w:highlight w:val="none"/>
          <w:lang w:val="en-US" w:eastAsia="zh-CN"/>
        </w:rPr>
        <w:t>修正后的</w:t>
      </w:r>
      <w:r>
        <w:rPr>
          <w:rFonts w:hint="default" w:ascii="Times New Roman" w:hAnsi="Times New Roman" w:cs="Times New Roman"/>
          <w:color w:val="auto"/>
          <w:highlight w:val="none"/>
        </w:rPr>
        <w:t>最终报价参与</w:t>
      </w:r>
      <w:r>
        <w:rPr>
          <w:rFonts w:hint="default" w:ascii="Times New Roman" w:hAnsi="Times New Roman" w:cs="Times New Roman"/>
          <w:color w:val="auto"/>
          <w:highlight w:val="none"/>
          <w:lang w:eastAsia="zh-CN"/>
        </w:rPr>
        <w:t>评审价</w:t>
      </w:r>
      <w:r>
        <w:rPr>
          <w:rFonts w:hint="default" w:ascii="Times New Roman" w:hAnsi="Times New Roman" w:cs="Times New Roman"/>
          <w:color w:val="auto"/>
          <w:highlight w:val="none"/>
        </w:rPr>
        <w:t>得分的计算</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并作为签订合同的依据</w:t>
      </w:r>
      <w:r>
        <w:rPr>
          <w:rFonts w:hint="default" w:ascii="Times New Roman" w:hAnsi="Times New Roman" w:cs="Times New Roman"/>
          <w:color w:val="auto"/>
          <w:highlight w:val="none"/>
        </w:rPr>
        <w:t>。</w:t>
      </w:r>
    </w:p>
    <w:p>
      <w:pPr>
        <w:keepNext/>
        <w:keepLines/>
        <w:spacing w:before="120" w:after="120"/>
        <w:outlineLvl w:val="2"/>
        <w:rPr>
          <w:rFonts w:ascii="Times New Roman" w:hAnsi="Times New Roman" w:cs="Times New Roman"/>
        </w:rPr>
      </w:pPr>
      <w:r>
        <w:rPr>
          <w:rFonts w:ascii="Times New Roman" w:hAnsi="Times New Roman" w:eastAsia="黑体" w:cs="Times New Roman"/>
          <w:bCs/>
          <w:sz w:val="24"/>
          <w:szCs w:val="32"/>
        </w:rPr>
        <w:t>3.2 详细评审</w:t>
      </w:r>
    </w:p>
    <w:p>
      <w:pPr>
        <w:spacing w:line="440" w:lineRule="exact"/>
        <w:ind w:firstLine="44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eastAsia"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3.3 </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w:t>
      </w:r>
    </w:p>
    <w:p>
      <w:pPr>
        <w:spacing w:line="440" w:lineRule="exact"/>
        <w:ind w:firstLine="420"/>
        <w:rPr>
          <w:rFonts w:ascii="Times New Roman" w:hAnsi="Times New Roman" w:cs="Times New Roman"/>
        </w:rPr>
      </w:pPr>
      <w:r>
        <w:rPr>
          <w:rFonts w:ascii="Times New Roman" w:hAnsi="Times New Roman" w:cs="Times New Roman"/>
        </w:rPr>
        <w:t>3.4.1 在评审过程中，</w:t>
      </w:r>
      <w:r>
        <w:rPr>
          <w:rFonts w:hint="eastAsia" w:ascii="Times New Roman" w:hAnsi="Times New Roman" w:cs="Times New Roman"/>
        </w:rPr>
        <w:t>评审小组</w:t>
      </w:r>
      <w:r>
        <w:rPr>
          <w:rFonts w:ascii="Times New Roman" w:hAnsi="Times New Roman" w:cs="Times New Roman"/>
        </w:rPr>
        <w:t>可以书面形式要求供应商对响应文件中含义不明确、对同类问题表述不一致或者有明显文字</w:t>
      </w:r>
      <w:r>
        <w:rPr>
          <w:rFonts w:hint="eastAsia" w:ascii="Times New Roman" w:hAnsi="Times New Roman" w:cs="Times New Roman"/>
        </w:rPr>
        <w:t>错误</w:t>
      </w:r>
      <w:r>
        <w:rPr>
          <w:rFonts w:ascii="Times New Roman" w:hAnsi="Times New Roman" w:cs="Times New Roman"/>
        </w:rPr>
        <w:t>的内容做必要的澄清。</w:t>
      </w:r>
      <w:r>
        <w:rPr>
          <w:rFonts w:hint="eastAsia" w:ascii="Times New Roman" w:hAnsi="Times New Roman" w:cs="Times New Roman"/>
        </w:rPr>
        <w:t>评审小组</w:t>
      </w:r>
      <w:r>
        <w:rPr>
          <w:rFonts w:ascii="Times New Roman" w:hAnsi="Times New Roman" w:cs="Times New Roman"/>
        </w:rPr>
        <w:t>不接受供应商主动提出的澄清。</w:t>
      </w:r>
    </w:p>
    <w:p>
      <w:pPr>
        <w:spacing w:line="440" w:lineRule="exact"/>
        <w:ind w:firstLine="420"/>
        <w:rPr>
          <w:rFonts w:ascii="Times New Roman" w:hAnsi="Times New Roman" w:cs="Times New Roman"/>
          <w:strike/>
        </w:rPr>
      </w:pPr>
      <w:r>
        <w:rPr>
          <w:rFonts w:ascii="Times New Roman" w:hAnsi="Times New Roman"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 xml:space="preserve"> 评审结果</w:t>
      </w:r>
    </w:p>
    <w:p>
      <w:pPr>
        <w:spacing w:line="440" w:lineRule="exact"/>
        <w:ind w:firstLine="420"/>
        <w:rPr>
          <w:rFonts w:hint="eastAsia" w:ascii="Times New Roman" w:hAnsi="Times New Roman" w:cs="Times New Roman"/>
          <w:lang w:val="en-US" w:eastAsia="zh-CN"/>
        </w:rPr>
      </w:pPr>
      <w:r>
        <w:rPr>
          <w:rFonts w:hint="eastAsia" w:ascii="Times New Roman" w:hAnsi="Times New Roman" w:cs="Times New Roman"/>
          <w:lang w:val="en-US" w:eastAsia="zh-CN"/>
        </w:rPr>
        <w:t>评审小组完成评审后，应当向采购人提交评审报告。评审报告应当如实记载以下内容：</w:t>
      </w:r>
    </w:p>
    <w:p>
      <w:pPr>
        <w:spacing w:line="440" w:lineRule="exact"/>
        <w:ind w:firstLine="420"/>
        <w:rPr>
          <w:rFonts w:hint="eastAsia" w:ascii="Times New Roman" w:hAnsi="Times New Roman" w:cs="Times New Roman"/>
          <w:lang w:val="en-US" w:eastAsia="zh-CN"/>
        </w:rPr>
      </w:pPr>
      <w:bookmarkStart w:id="60" w:name="_Toc218_WPSOffice_Level2"/>
      <w:bookmarkStart w:id="61" w:name="_Toc21524_WPSOffice_Level2"/>
      <w:bookmarkStart w:id="62" w:name="_Toc12245_WPSOffice_Level2"/>
      <w:r>
        <w:rPr>
          <w:rFonts w:hint="eastAsia" w:ascii="Times New Roman" w:hAnsi="Times New Roman" w:cs="Times New Roman"/>
          <w:lang w:val="en-US" w:eastAsia="zh-CN"/>
        </w:rPr>
        <w:t>（一）采购项目基本情况</w:t>
      </w:r>
      <w:bookmarkEnd w:id="60"/>
      <w:bookmarkEnd w:id="61"/>
      <w:bookmarkEnd w:id="62"/>
    </w:p>
    <w:p>
      <w:pPr>
        <w:spacing w:line="440" w:lineRule="exact"/>
        <w:ind w:firstLine="420"/>
        <w:rPr>
          <w:rFonts w:hint="eastAsia" w:ascii="Times New Roman" w:hAnsi="Times New Roman" w:cs="Times New Roman"/>
          <w:lang w:val="en-US" w:eastAsia="zh-CN"/>
        </w:rPr>
      </w:pPr>
      <w:bookmarkStart w:id="63" w:name="_Toc8414_WPSOffice_Level2"/>
      <w:bookmarkStart w:id="64" w:name="_Toc31322_WPSOffice_Level2"/>
      <w:bookmarkStart w:id="65" w:name="_Toc5856_WPSOffice_Level2"/>
      <w:r>
        <w:rPr>
          <w:rFonts w:hint="eastAsia" w:ascii="Times New Roman" w:hAnsi="Times New Roman" w:cs="Times New Roman"/>
          <w:lang w:val="en-US" w:eastAsia="zh-CN"/>
        </w:rPr>
        <w:t>（二）采购过程回顾</w:t>
      </w:r>
      <w:bookmarkEnd w:id="63"/>
      <w:bookmarkEnd w:id="64"/>
      <w:bookmarkEnd w:id="65"/>
    </w:p>
    <w:p>
      <w:pPr>
        <w:spacing w:line="440" w:lineRule="exact"/>
        <w:ind w:firstLine="420"/>
        <w:rPr>
          <w:rFonts w:hint="eastAsia" w:ascii="Times New Roman" w:hAnsi="Times New Roman" w:cs="Times New Roman"/>
          <w:lang w:val="en-US" w:eastAsia="zh-CN"/>
        </w:rPr>
      </w:pPr>
      <w:bookmarkStart w:id="66" w:name="_Toc15620_WPSOffice_Level2"/>
      <w:bookmarkStart w:id="67" w:name="_Toc1346_WPSOffice_Level2"/>
      <w:bookmarkStart w:id="68" w:name="_Toc2932_WPSOffice_Level2"/>
      <w:r>
        <w:rPr>
          <w:rFonts w:hint="eastAsia" w:ascii="Times New Roman" w:hAnsi="Times New Roman" w:cs="Times New Roman"/>
          <w:lang w:val="en-US" w:eastAsia="zh-CN"/>
        </w:rPr>
        <w:t>（三）评审小组成员名单</w:t>
      </w:r>
      <w:bookmarkEnd w:id="66"/>
      <w:bookmarkEnd w:id="67"/>
      <w:bookmarkEnd w:id="68"/>
    </w:p>
    <w:p>
      <w:pPr>
        <w:spacing w:line="440" w:lineRule="exact"/>
        <w:ind w:firstLine="420"/>
        <w:rPr>
          <w:rFonts w:hint="eastAsia" w:ascii="Times New Roman" w:hAnsi="Times New Roman" w:cs="Times New Roman"/>
          <w:lang w:val="en-US" w:eastAsia="zh-CN"/>
        </w:rPr>
      </w:pPr>
      <w:bookmarkStart w:id="69" w:name="_Toc14207_WPSOffice_Level2"/>
      <w:bookmarkStart w:id="70" w:name="_Toc32316_WPSOffice_Level2"/>
      <w:bookmarkStart w:id="71" w:name="_Toc14464_WPSOffice_Level2"/>
      <w:r>
        <w:rPr>
          <w:rFonts w:hint="eastAsia" w:ascii="Times New Roman" w:hAnsi="Times New Roman" w:cs="Times New Roman"/>
          <w:lang w:val="en-US" w:eastAsia="zh-CN"/>
        </w:rPr>
        <w:t>（四）询比评审工作</w:t>
      </w:r>
      <w:bookmarkEnd w:id="69"/>
      <w:bookmarkEnd w:id="70"/>
      <w:bookmarkEnd w:id="71"/>
    </w:p>
    <w:p>
      <w:pPr>
        <w:spacing w:line="440" w:lineRule="exact"/>
        <w:ind w:firstLine="420"/>
        <w:rPr>
          <w:rFonts w:hint="eastAsia" w:ascii="Times New Roman" w:hAnsi="Times New Roman" w:cs="Times New Roman"/>
          <w:lang w:val="en-US" w:eastAsia="zh-CN"/>
        </w:rPr>
      </w:pPr>
      <w:r>
        <w:rPr>
          <w:rFonts w:hint="eastAsia" w:ascii="Times New Roman" w:hAnsi="Times New Roman" w:cs="Times New Roman"/>
          <w:lang w:val="en-US" w:eastAsia="zh-CN"/>
        </w:rPr>
        <w:t>1.评审办法</w:t>
      </w:r>
    </w:p>
    <w:p>
      <w:pPr>
        <w:spacing w:line="440" w:lineRule="exact"/>
        <w:ind w:firstLine="420"/>
        <w:rPr>
          <w:rFonts w:hint="eastAsia" w:ascii="Times New Roman" w:hAnsi="Times New Roman" w:cs="Times New Roman"/>
          <w:lang w:val="en-US" w:eastAsia="zh-CN"/>
        </w:rPr>
      </w:pPr>
      <w:r>
        <w:rPr>
          <w:rFonts w:hint="eastAsia" w:ascii="Times New Roman" w:hAnsi="Times New Roman" w:cs="Times New Roman"/>
          <w:lang w:val="en-US" w:eastAsia="zh-CN"/>
        </w:rPr>
        <w:t>2.初步评审情况（资格审查、形式性审查、响应性审查）</w:t>
      </w:r>
    </w:p>
    <w:p>
      <w:pPr>
        <w:spacing w:line="440" w:lineRule="exact"/>
        <w:ind w:firstLine="420"/>
        <w:rPr>
          <w:rFonts w:hint="eastAsia" w:ascii="Times New Roman" w:hAnsi="Times New Roman" w:cs="Times New Roman"/>
          <w:lang w:val="en-US" w:eastAsia="zh-CN"/>
        </w:rPr>
      </w:pPr>
      <w:r>
        <w:rPr>
          <w:rFonts w:hint="eastAsia" w:ascii="Times New Roman" w:hAnsi="Times New Roman" w:cs="Times New Roman"/>
          <w:lang w:val="en-US" w:eastAsia="zh-CN"/>
        </w:rPr>
        <w:t>3.详细评审情况（供应商的报价评审情况）</w:t>
      </w:r>
    </w:p>
    <w:p>
      <w:pPr>
        <w:spacing w:line="440" w:lineRule="exact"/>
        <w:ind w:firstLine="420"/>
        <w:rPr>
          <w:rFonts w:hint="eastAsia" w:ascii="Times New Roman" w:hAnsi="Times New Roman" w:cs="Times New Roman"/>
          <w:lang w:val="en-US" w:eastAsia="zh-CN"/>
        </w:rPr>
      </w:pPr>
      <w:r>
        <w:rPr>
          <w:rFonts w:hint="eastAsia" w:ascii="Times New Roman" w:hAnsi="Times New Roman" w:cs="Times New Roman"/>
          <w:lang w:val="en-US" w:eastAsia="zh-CN"/>
        </w:rPr>
        <w:t>4.否决的供应商名单以及否决理由（如有）</w:t>
      </w:r>
    </w:p>
    <w:p>
      <w:pPr>
        <w:spacing w:line="440" w:lineRule="exact"/>
        <w:ind w:firstLine="420"/>
        <w:rPr>
          <w:rFonts w:hint="eastAsia" w:ascii="Times New Roman" w:hAnsi="Times New Roman" w:cs="Times New Roman"/>
          <w:lang w:val="en-US" w:eastAsia="zh-CN"/>
        </w:rPr>
      </w:pPr>
      <w:r>
        <w:rPr>
          <w:rFonts w:hint="eastAsia" w:ascii="Times New Roman" w:hAnsi="Times New Roman" w:cs="Times New Roman"/>
          <w:lang w:val="en-US" w:eastAsia="zh-CN"/>
        </w:rPr>
        <w:t>5.推荐候选供应商排序</w:t>
      </w:r>
    </w:p>
    <w:p>
      <w:pPr>
        <w:spacing w:line="440" w:lineRule="exact"/>
        <w:ind w:firstLine="420"/>
        <w:rPr>
          <w:rFonts w:hint="eastAsia" w:ascii="Times New Roman" w:hAnsi="Times New Roman" w:cs="Times New Roman"/>
          <w:lang w:val="en-US" w:eastAsia="zh-CN"/>
        </w:rPr>
      </w:pPr>
      <w:bookmarkStart w:id="72" w:name="_Toc3913_WPSOffice_Level2"/>
      <w:bookmarkStart w:id="73" w:name="_Toc5114_WPSOffice_Level2"/>
      <w:bookmarkStart w:id="74" w:name="_Toc13397_WPSOffice_Level2"/>
      <w:r>
        <w:rPr>
          <w:rFonts w:hint="eastAsia" w:ascii="Times New Roman" w:hAnsi="Times New Roman" w:cs="Times New Roman"/>
          <w:lang w:val="en-US" w:eastAsia="zh-CN"/>
        </w:rPr>
        <w:t>（五）需要说明的其他事项</w:t>
      </w:r>
      <w:bookmarkEnd w:id="72"/>
      <w:bookmarkEnd w:id="73"/>
      <w:bookmarkEnd w:id="74"/>
    </w:p>
    <w:p>
      <w:pPr>
        <w:spacing w:line="440" w:lineRule="exact"/>
        <w:ind w:firstLine="420"/>
        <w:rPr>
          <w:rFonts w:hint="eastAsia" w:ascii="Times New Roman" w:hAnsi="Times New Roman" w:cs="Times New Roman"/>
          <w:lang w:val="en-US" w:eastAsia="zh-CN"/>
        </w:rPr>
      </w:pPr>
      <w:bookmarkStart w:id="75" w:name="_Toc23800_WPSOffice_Level2"/>
      <w:bookmarkStart w:id="76" w:name="_Toc8934_WPSOffice_Level2"/>
      <w:bookmarkStart w:id="77" w:name="_Toc3031_WPSOffice_Level2"/>
      <w:r>
        <w:rPr>
          <w:rFonts w:hint="eastAsia" w:ascii="Times New Roman" w:hAnsi="Times New Roman" w:cs="Times New Roman"/>
          <w:lang w:val="en-US" w:eastAsia="zh-CN"/>
        </w:rPr>
        <w:t>（六）评审附表</w:t>
      </w:r>
      <w:bookmarkEnd w:id="75"/>
      <w:bookmarkEnd w:id="76"/>
      <w:bookmarkEnd w:id="77"/>
    </w:p>
    <w:p>
      <w:pPr>
        <w:spacing w:line="440" w:lineRule="exact"/>
        <w:ind w:firstLine="420"/>
        <w:rPr>
          <w:rFonts w:hint="eastAsia" w:ascii="Times New Roman" w:hAnsi="Times New Roman" w:cs="Times New Roman"/>
          <w:lang w:val="en-US" w:eastAsia="zh-CN"/>
        </w:rPr>
      </w:pPr>
      <w:r>
        <w:rPr>
          <w:rFonts w:hint="eastAsia" w:ascii="Times New Roman" w:hAnsi="Times New Roman" w:cs="Times New Roman"/>
          <w:lang w:val="en-US" w:eastAsia="zh-CN"/>
        </w:rPr>
        <w:t>1.响应（申请）文件接收记录表</w:t>
      </w:r>
    </w:p>
    <w:p>
      <w:pPr>
        <w:spacing w:line="440" w:lineRule="exact"/>
        <w:ind w:firstLine="420"/>
        <w:rPr>
          <w:rFonts w:hint="eastAsia" w:ascii="Times New Roman" w:hAnsi="Times New Roman" w:cs="Times New Roman"/>
          <w:lang w:val="en-US" w:eastAsia="zh-CN"/>
        </w:rPr>
      </w:pPr>
      <w:r>
        <w:rPr>
          <w:rFonts w:hint="eastAsia" w:ascii="Times New Roman" w:hAnsi="Times New Roman" w:cs="Times New Roman"/>
          <w:lang w:val="en-US" w:eastAsia="zh-CN"/>
        </w:rPr>
        <w:t>2.供应商报价记录表</w:t>
      </w:r>
    </w:p>
    <w:p>
      <w:pPr>
        <w:spacing w:line="440" w:lineRule="exact"/>
        <w:ind w:firstLine="420"/>
        <w:rPr>
          <w:rFonts w:hint="eastAsia" w:ascii="Times New Roman" w:hAnsi="Times New Roman" w:cs="Times New Roman"/>
          <w:lang w:val="en-US" w:eastAsia="zh-CN"/>
        </w:rPr>
      </w:pPr>
      <w:r>
        <w:rPr>
          <w:rFonts w:hint="eastAsia" w:ascii="Times New Roman" w:hAnsi="Times New Roman" w:cs="Times New Roman"/>
          <w:lang w:val="en-US" w:eastAsia="zh-CN"/>
        </w:rPr>
        <w:t>3.评审表格</w:t>
      </w:r>
    </w:p>
    <w:p>
      <w:pPr>
        <w:pStyle w:val="11"/>
        <w:rPr>
          <w:rFonts w:hint="default" w:ascii="Times New Roman" w:hAnsi="Times New Roman" w:eastAsia="宋体" w:cs="Times New Roman"/>
          <w:lang w:val="en-US" w:eastAsia="zh-CN"/>
        </w:rPr>
      </w:pPr>
    </w:p>
    <w:p>
      <w:pPr>
        <w:pStyle w:val="11"/>
        <w:rPr>
          <w:rFonts w:hint="eastAsia" w:ascii="Times New Roman" w:hAnsi="Times New Roman" w:eastAsia="宋体" w:cs="Times New Roman"/>
          <w:lang w:val="en-US" w:eastAsia="zh-CN"/>
        </w:rPr>
      </w:pP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br w:type="page"/>
      </w:r>
    </w:p>
    <w:p>
      <w:pPr>
        <w:pStyle w:val="5"/>
        <w:numPr>
          <w:ilvl w:val="0"/>
          <w:numId w:val="0"/>
        </w:numPr>
        <w:spacing w:before="312" w:after="312"/>
        <w:ind w:leftChars="0"/>
        <w:jc w:val="center"/>
        <w:rPr>
          <w:rFonts w:ascii="Times New Roman" w:hAnsi="Times New Roman" w:eastAsia="宋体" w:cs="Times New Roman"/>
        </w:rPr>
      </w:pPr>
      <w:bookmarkStart w:id="78" w:name="_Toc27638"/>
      <w:r>
        <w:rPr>
          <w:rFonts w:hint="eastAsia" w:ascii="Times New Roman" w:hAnsi="Times New Roman" w:eastAsia="宋体" w:cs="Times New Roman"/>
          <w:lang w:val="en-US" w:eastAsia="zh-CN"/>
        </w:rPr>
        <w:t xml:space="preserve">第四章 </w:t>
      </w:r>
      <w:r>
        <w:rPr>
          <w:rFonts w:ascii="Times New Roman" w:hAnsi="Times New Roman" w:eastAsia="宋体" w:cs="Times New Roman"/>
        </w:rPr>
        <w:t>合同内容</w:t>
      </w:r>
      <w:bookmarkEnd w:id="78"/>
    </w:p>
    <w:p>
      <w:pPr>
        <w:keepNext w:val="0"/>
        <w:keepLines w:val="0"/>
        <w:pageBreakBefore w:val="0"/>
        <w:widowControl w:val="0"/>
        <w:kinsoku/>
        <w:wordWrap/>
        <w:overflowPunct/>
        <w:topLinePunct w:val="0"/>
        <w:autoSpaceDE/>
        <w:autoSpaceDN/>
        <w:bidi w:val="0"/>
        <w:adjustRightInd/>
        <w:snapToGrid/>
        <w:jc w:val="center"/>
        <w:textAlignment w:val="auto"/>
        <w:rPr>
          <w:rFonts w:hint="default"/>
          <w:sz w:val="28"/>
          <w:szCs w:val="28"/>
          <w:lang w:val="en-US" w:eastAsia="zh-CN"/>
        </w:rPr>
      </w:pPr>
      <w:r>
        <w:rPr>
          <w:rFonts w:hint="eastAsia"/>
          <w:sz w:val="28"/>
          <w:szCs w:val="28"/>
          <w:lang w:val="en-US" w:eastAsia="zh-CN"/>
        </w:rPr>
        <w:t>详见附件。</w:t>
      </w:r>
    </w:p>
    <w:p>
      <w:pPr>
        <w:pStyle w:val="11"/>
        <w:rPr>
          <w:rFonts w:hint="eastAsia" w:ascii="Times New Roman" w:hAnsi="Times New Roman" w:eastAsia="宋体" w:cs="Times New Roman"/>
          <w:lang w:val="en-US" w:eastAsia="zh-CN"/>
        </w:rPr>
      </w:pPr>
    </w:p>
    <w:p>
      <w:pPr>
        <w:rPr>
          <w:rFonts w:hint="eastAsia" w:ascii="Times New Roman" w:hAnsi="Times New Roman" w:eastAsia="宋体" w:cs="Times New Roman"/>
          <w:lang w:val="en-US" w:eastAsia="zh-CN"/>
        </w:rPr>
      </w:pPr>
      <w:bookmarkStart w:id="79" w:name="_Toc13841"/>
      <w:r>
        <w:rPr>
          <w:rFonts w:hint="eastAsia" w:ascii="Times New Roman" w:hAnsi="Times New Roman" w:eastAsia="宋体" w:cs="Times New Roman"/>
          <w:lang w:val="en-US" w:eastAsia="zh-CN"/>
        </w:rPr>
        <w:br w:type="page"/>
      </w:r>
    </w:p>
    <w:p>
      <w:pPr>
        <w:pStyle w:val="5"/>
        <w:numPr>
          <w:ilvl w:val="0"/>
          <w:numId w:val="0"/>
        </w:numPr>
        <w:spacing w:before="312" w:after="312"/>
        <w:ind w:leftChars="0"/>
        <w:jc w:val="center"/>
        <w:rPr>
          <w:rFonts w:hint="default" w:ascii="Times New Roman" w:hAnsi="Times New Roman" w:eastAsia="宋体" w:cs="Times New Roman"/>
          <w:lang w:val="en-US" w:eastAsia="zh-CN"/>
        </w:rPr>
      </w:pPr>
      <w:bookmarkStart w:id="80" w:name="_Toc26161"/>
      <w:r>
        <w:rPr>
          <w:rFonts w:hint="eastAsia" w:ascii="Times New Roman" w:hAnsi="Times New Roman" w:eastAsia="宋体" w:cs="Times New Roman"/>
          <w:lang w:val="en-US" w:eastAsia="zh-CN"/>
        </w:rPr>
        <w:t>第五章</w:t>
      </w:r>
      <w:bookmarkEnd w:id="79"/>
      <w:r>
        <w:rPr>
          <w:rFonts w:hint="eastAsia" w:ascii="Times New Roman" w:hAnsi="Times New Roman" w:eastAsia="宋体" w:cs="Times New Roman"/>
          <w:lang w:val="en-US" w:eastAsia="zh-CN"/>
        </w:rPr>
        <w:t xml:space="preserve"> 工程量清单</w:t>
      </w:r>
      <w:bookmarkEnd w:id="80"/>
    </w:p>
    <w:p>
      <w:pPr>
        <w:keepNext w:val="0"/>
        <w:keepLines w:val="0"/>
        <w:pageBreakBefore w:val="0"/>
        <w:widowControl w:val="0"/>
        <w:kinsoku/>
        <w:wordWrap/>
        <w:overflowPunct/>
        <w:topLinePunct w:val="0"/>
        <w:autoSpaceDE/>
        <w:autoSpaceDN/>
        <w:bidi w:val="0"/>
        <w:adjustRightInd/>
        <w:snapToGrid/>
        <w:jc w:val="center"/>
        <w:textAlignment w:val="auto"/>
        <w:rPr>
          <w:rFonts w:hint="default"/>
          <w:sz w:val="28"/>
          <w:szCs w:val="28"/>
          <w:lang w:val="en-US" w:eastAsia="zh-CN"/>
        </w:rPr>
      </w:pPr>
      <w:r>
        <w:rPr>
          <w:rFonts w:hint="eastAsia"/>
          <w:sz w:val="28"/>
          <w:szCs w:val="28"/>
          <w:lang w:val="en-US" w:eastAsia="zh-CN"/>
        </w:rPr>
        <w:t>详见附件。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宋体" w:cs="Times New Roman"/>
          <w:b/>
          <w:bCs/>
          <w:sz w:val="28"/>
          <w:szCs w:val="28"/>
          <w:lang w:val="en-US" w:eastAsia="zh-CN"/>
        </w:rPr>
      </w:pP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br w:type="page"/>
      </w:r>
    </w:p>
    <w:p>
      <w:pPr>
        <w:pStyle w:val="5"/>
        <w:numPr>
          <w:ilvl w:val="0"/>
          <w:numId w:val="0"/>
        </w:numPr>
        <w:spacing w:before="312" w:after="312"/>
        <w:ind w:leftChars="0"/>
        <w:jc w:val="center"/>
        <w:rPr>
          <w:rFonts w:ascii="Times New Roman" w:hAnsi="Times New Roman" w:eastAsia="宋体" w:cs="Times New Roman"/>
        </w:rPr>
      </w:pPr>
      <w:bookmarkStart w:id="81" w:name="_Toc5103"/>
      <w:r>
        <w:rPr>
          <w:rFonts w:hint="eastAsia" w:ascii="Times New Roman" w:hAnsi="Times New Roman" w:eastAsia="宋体" w:cs="Times New Roman"/>
          <w:lang w:val="en-US" w:eastAsia="zh-CN"/>
        </w:rPr>
        <w:t>第六章 图纸</w:t>
      </w:r>
      <w:bookmarkEnd w:id="81"/>
    </w:p>
    <w:p>
      <w:pPr>
        <w:keepNext w:val="0"/>
        <w:keepLines w:val="0"/>
        <w:pageBreakBefore w:val="0"/>
        <w:widowControl w:val="0"/>
        <w:kinsoku/>
        <w:wordWrap/>
        <w:overflowPunct/>
        <w:topLinePunct w:val="0"/>
        <w:autoSpaceDE/>
        <w:autoSpaceDN/>
        <w:bidi w:val="0"/>
        <w:adjustRightInd/>
        <w:snapToGrid/>
        <w:jc w:val="center"/>
        <w:textAlignment w:val="auto"/>
        <w:rPr>
          <w:rFonts w:hint="default"/>
          <w:sz w:val="28"/>
          <w:szCs w:val="28"/>
          <w:lang w:val="en-US" w:eastAsia="zh-CN"/>
        </w:rPr>
      </w:pPr>
      <w:r>
        <w:rPr>
          <w:rFonts w:hint="eastAsia"/>
          <w:sz w:val="28"/>
          <w:szCs w:val="28"/>
          <w:lang w:val="en-US" w:eastAsia="zh-CN"/>
        </w:rPr>
        <w:t>无。</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br w:type="page"/>
      </w:r>
    </w:p>
    <w:p>
      <w:pPr>
        <w:pStyle w:val="5"/>
        <w:numPr>
          <w:ilvl w:val="0"/>
          <w:numId w:val="0"/>
        </w:numPr>
        <w:spacing w:before="312" w:after="312"/>
        <w:ind w:leftChars="0"/>
        <w:jc w:val="center"/>
        <w:rPr>
          <w:rFonts w:hint="default" w:ascii="Times New Roman" w:hAnsi="Times New Roman" w:eastAsia="宋体" w:cs="Times New Roman"/>
          <w:lang w:val="en-US" w:eastAsia="zh-CN"/>
        </w:rPr>
      </w:pPr>
      <w:bookmarkStart w:id="82" w:name="_Toc18650"/>
      <w:r>
        <w:rPr>
          <w:rFonts w:hint="eastAsia" w:ascii="Times New Roman" w:hAnsi="Times New Roman" w:eastAsia="宋体" w:cs="Times New Roman"/>
          <w:lang w:val="en-US" w:eastAsia="zh-CN"/>
        </w:rPr>
        <w:t>第七章 技术标准和要求</w:t>
      </w:r>
      <w:bookmarkEnd w:id="82"/>
    </w:p>
    <w:p>
      <w:pPr>
        <w:keepNext w:val="0"/>
        <w:keepLines w:val="0"/>
        <w:pageBreakBefore w:val="0"/>
        <w:widowControl w:val="0"/>
        <w:kinsoku/>
        <w:wordWrap/>
        <w:overflowPunct/>
        <w:topLinePunct w:val="0"/>
        <w:autoSpaceDE/>
        <w:autoSpaceDN/>
        <w:bidi w:val="0"/>
        <w:adjustRightInd/>
        <w:snapToGrid/>
        <w:jc w:val="center"/>
        <w:textAlignment w:val="auto"/>
        <w:rPr>
          <w:rFonts w:hint="default"/>
          <w:sz w:val="28"/>
          <w:szCs w:val="28"/>
          <w:lang w:val="en-US" w:eastAsia="zh-CN"/>
        </w:rPr>
      </w:pPr>
      <w:r>
        <w:rPr>
          <w:rFonts w:hint="eastAsia"/>
          <w:sz w:val="28"/>
          <w:szCs w:val="28"/>
          <w:lang w:val="en-US" w:eastAsia="zh-CN"/>
        </w:rPr>
        <w:t>详见附件。</w:t>
      </w: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r>
        <w:rPr>
          <w:rFonts w:ascii="Times New Roman" w:hAnsi="Times New Roman" w:eastAsia="宋体" w:cs="Times New Roman"/>
        </w:rPr>
        <w:br w:type="page"/>
      </w:r>
    </w:p>
    <w:p>
      <w:pPr>
        <w:pStyle w:val="5"/>
        <w:numPr>
          <w:ilvl w:val="255"/>
          <w:numId w:val="0"/>
        </w:numPr>
        <w:spacing w:before="312" w:after="312"/>
        <w:ind w:left="402"/>
        <w:rPr>
          <w:rFonts w:hint="eastAsia" w:ascii="Times New Roman" w:hAnsi="Times New Roman" w:eastAsia="宋体" w:cs="Times New Roman"/>
        </w:rPr>
      </w:pPr>
      <w:bookmarkStart w:id="83" w:name="_Toc30039"/>
      <w:r>
        <w:rPr>
          <w:rFonts w:hint="eastAsia" w:ascii="Times New Roman" w:hAnsi="Times New Roman" w:eastAsia="宋体" w:cs="Times New Roman"/>
          <w:lang w:val="en-US" w:eastAsia="zh-CN"/>
        </w:rPr>
        <w:t xml:space="preserve">第八章 </w:t>
      </w:r>
      <w:r>
        <w:rPr>
          <w:rFonts w:hint="eastAsia" w:ascii="Times New Roman" w:hAnsi="Times New Roman" w:eastAsia="宋体" w:cs="Times New Roman"/>
        </w:rPr>
        <w:t>响应文件格式</w:t>
      </w:r>
      <w:bookmarkEnd w:id="83"/>
    </w:p>
    <w:p>
      <w:pPr>
        <w:jc w:val="left"/>
        <w:rPr>
          <w:rFonts w:ascii="Times New Roman" w:hAnsi="Times New Roman" w:eastAsia="宋体" w:cs="Times New Roman"/>
        </w:rPr>
      </w:pPr>
      <w:r>
        <w:rPr>
          <w:rFonts w:ascii="Times New Roman" w:hAnsi="Times New Roman" w:eastAsia="宋体" w:cs="Times New Roman"/>
        </w:rPr>
        <w:br w:type="page"/>
      </w:r>
    </w:p>
    <w:p>
      <w:pPr>
        <w:spacing w:line="440" w:lineRule="exact"/>
        <w:jc w:val="center"/>
        <w:rPr>
          <w:rFonts w:hint="eastAsia" w:ascii="宋体" w:hAnsi="宋体" w:eastAsia="宋体" w:cs="宋体"/>
          <w:b/>
          <w:bCs/>
          <w:kern w:val="0"/>
          <w:sz w:val="36"/>
          <w:szCs w:val="36"/>
          <w:u w:val="single"/>
          <w:lang w:val="en-US" w:eastAsia="zh-CN"/>
        </w:rPr>
      </w:pPr>
    </w:p>
    <w:p>
      <w:pPr>
        <w:spacing w:line="440" w:lineRule="exact"/>
        <w:jc w:val="center"/>
        <w:rPr>
          <w:rFonts w:hint="eastAsia" w:ascii="宋体" w:hAnsi="宋体" w:eastAsia="宋体" w:cs="宋体"/>
          <w:b/>
          <w:bCs/>
          <w:kern w:val="0"/>
          <w:sz w:val="36"/>
          <w:szCs w:val="36"/>
          <w:u w:val="single"/>
          <w:lang w:val="en-US" w:eastAsia="zh-CN"/>
        </w:rPr>
      </w:pPr>
    </w:p>
    <w:p>
      <w:pPr>
        <w:spacing w:line="440" w:lineRule="exact"/>
        <w:jc w:val="center"/>
        <w:rPr>
          <w:rFonts w:ascii="Times New Roman" w:hAnsi="Times New Roman" w:eastAsia="黑体" w:cs="Times New Roman"/>
          <w:sz w:val="36"/>
          <w:szCs w:val="36"/>
        </w:rPr>
      </w:pPr>
      <w:r>
        <w:rPr>
          <w:rFonts w:hint="eastAsia" w:ascii="宋体" w:hAnsi="宋体" w:eastAsia="宋体" w:cs="宋体"/>
          <w:b/>
          <w:bCs/>
          <w:kern w:val="0"/>
          <w:sz w:val="36"/>
          <w:szCs w:val="36"/>
          <w:u w:val="single"/>
          <w:lang w:val="en-US" w:eastAsia="zh-CN"/>
        </w:rPr>
        <w:t xml:space="preserve">                                </w:t>
      </w:r>
      <w:r>
        <w:rPr>
          <w:rFonts w:hint="eastAsia" w:ascii="宋体" w:hAnsi="宋体" w:eastAsia="宋体" w:cs="宋体"/>
          <w:b/>
          <w:bCs/>
          <w:kern w:val="0"/>
          <w:sz w:val="36"/>
          <w:szCs w:val="36"/>
          <w:u w:val="none"/>
          <w:lang w:val="en-US" w:eastAsia="zh-CN"/>
        </w:rPr>
        <w:t>项目</w:t>
      </w:r>
      <w:r>
        <w:rPr>
          <w:rFonts w:ascii="Times New Roman" w:hAnsi="Times New Roman" w:eastAsia="黑体" w:cs="Times New Roman"/>
          <w:sz w:val="36"/>
          <w:szCs w:val="36"/>
        </w:rPr>
        <w:t>询比</w:t>
      </w:r>
    </w:p>
    <w:p>
      <w:pPr>
        <w:spacing w:line="440" w:lineRule="exact"/>
        <w:rPr>
          <w:rFonts w:ascii="Times New Roman" w:hAnsi="Times New Roman" w:eastAsia="黑体" w:cs="Times New Roman"/>
          <w:sz w:val="20"/>
          <w:szCs w:val="20"/>
        </w:rPr>
      </w:pPr>
      <w:r>
        <w:rPr>
          <w:rFonts w:ascii="Times New Roman" w:hAnsi="Times New Roman" w:eastAsia="黑体" w:cs="Times New Roman"/>
          <w:sz w:val="20"/>
          <w:szCs w:val="20"/>
        </w:rPr>
        <w:t xml:space="preserve"> </w:t>
      </w: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84" w:name="_Toc32044_WPSOffice_Level1"/>
      <w:bookmarkStart w:id="85" w:name="_Toc29687_WPSOffice_Level1"/>
      <w:bookmarkStart w:id="86" w:name="_Toc10484_WPSOffice_Level1"/>
      <w:bookmarkStart w:id="87" w:name="_Toc1914_WPSOffice_Level1"/>
      <w:bookmarkStart w:id="88" w:name="_Toc17394_WPSOffice_Level1"/>
      <w:r>
        <w:rPr>
          <w:rFonts w:ascii="Times New Roman" w:hAnsi="Times New Roman" w:eastAsia="黑体" w:cs="Times New Roman"/>
          <w:sz w:val="50"/>
          <w:szCs w:val="50"/>
        </w:rPr>
        <w:t>响  应  文  件</w:t>
      </w:r>
      <w:bookmarkEnd w:id="84"/>
      <w:bookmarkEnd w:id="85"/>
      <w:bookmarkEnd w:id="86"/>
      <w:bookmarkEnd w:id="87"/>
      <w:bookmarkEnd w:id="88"/>
    </w:p>
    <w:p>
      <w:pPr>
        <w:pStyle w:val="2"/>
        <w:ind w:firstLine="2560" w:firstLineChars="800"/>
        <w:jc w:val="both"/>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（商务技术文件）</w:t>
      </w: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89" w:name="_Toc25232_WPSOffice_Level2"/>
      <w:bookmarkStart w:id="90" w:name="_Toc5520_WPSOffice_Level2"/>
      <w:r>
        <w:rPr>
          <w:rFonts w:hint="eastAsia" w:ascii="Times New Roman" w:hAnsi="Times New Roman" w:eastAsia="黑体" w:cs="Times New Roman"/>
          <w:sz w:val="28"/>
          <w:szCs w:val="28"/>
          <w:lang w:val="en-US" w:eastAsia="zh-CN"/>
        </w:rPr>
        <w:t xml:space="preserve">     </w:t>
      </w:r>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w:t>
      </w:r>
      <w:r>
        <w:rPr>
          <w:rFonts w:hint="eastAsia" w:ascii="Times New Roman" w:hAnsi="Times New Roman" w:eastAsia="黑体" w:cs="Times New Roman"/>
          <w:sz w:val="28"/>
          <w:szCs w:val="28"/>
          <w:u w:val="single"/>
          <w:lang w:val="en-US" w:eastAsia="zh-CN"/>
        </w:rPr>
        <w:t xml:space="preserve">     </w:t>
      </w:r>
      <w:r>
        <w:rPr>
          <w:rFonts w:ascii="Times New Roman" w:hAnsi="Times New Roman" w:eastAsia="黑体" w:cs="Times New Roman"/>
          <w:sz w:val="28"/>
          <w:szCs w:val="28"/>
          <w:u w:val="single"/>
        </w:rPr>
        <w:t xml:space="preserve"> (全称、盖单位章)</w:t>
      </w:r>
      <w:bookmarkEnd w:id="89"/>
      <w:bookmarkEnd w:id="90"/>
      <w:r>
        <w:rPr>
          <w:rFonts w:ascii="Times New Roman" w:hAnsi="Times New Roman" w:eastAsia="黑体" w:cs="Times New Roman"/>
          <w:sz w:val="28"/>
          <w:szCs w:val="28"/>
          <w:u w:val="single"/>
        </w:rPr>
        <w:t xml:space="preserve"> </w:t>
      </w:r>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8"/>
          <w:szCs w:val="28"/>
          <w:u w:val="none"/>
          <w:lang w:val="en-US" w:eastAsia="zh-CN"/>
        </w:rPr>
        <w:t xml:space="preserve">          </w:t>
      </w:r>
      <w:r>
        <w:rPr>
          <w:rFonts w:ascii="Times New Roman" w:hAnsi="Times New Roman" w:eastAsia="黑体" w:cs="Times New Roman"/>
          <w:sz w:val="28"/>
          <w:szCs w:val="28"/>
          <w:u w:val="single"/>
        </w:rPr>
        <w:t xml:space="preserve">       </w:t>
      </w:r>
      <w:bookmarkStart w:id="91" w:name="_Toc31577_WPSOffice_Level2"/>
      <w:bookmarkStart w:id="92" w:name="_Toc20076_WPSOffice_Level2"/>
      <w:r>
        <w:rPr>
          <w:rFonts w:ascii="Times New Roman" w:hAnsi="Times New Roman" w:eastAsia="黑体" w:cs="Times New Roman"/>
          <w:sz w:val="28"/>
          <w:szCs w:val="28"/>
        </w:rPr>
        <w:t>年</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月</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日</w:t>
      </w:r>
      <w:bookmarkEnd w:id="91"/>
      <w:bookmarkEnd w:id="92"/>
    </w:p>
    <w:p>
      <w:pPr>
        <w:spacing w:line="440" w:lineRule="exact"/>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93" w:name="_Toc22351_WPSOffice_Level2"/>
      <w:bookmarkStart w:id="94" w:name="_Toc21974_WPSOffice_Level2"/>
      <w:r>
        <w:rPr>
          <w:rFonts w:ascii="Times New Roman" w:hAnsi="Times New Roman" w:eastAsia="黑体" w:cs="Times New Roman"/>
          <w:sz w:val="28"/>
          <w:szCs w:val="28"/>
        </w:rPr>
        <w:t>目</w:t>
      </w:r>
      <w:r>
        <w:rPr>
          <w:rFonts w:hint="eastAsia" w:ascii="Times New Roman" w:hAnsi="Times New Roman" w:eastAsia="黑体" w:cs="Times New Roman"/>
          <w:sz w:val="28"/>
          <w:szCs w:val="28"/>
          <w:lang w:val="en-US" w:eastAsia="zh-CN"/>
        </w:rPr>
        <w:t xml:space="preserve">   </w:t>
      </w:r>
      <w:r>
        <w:rPr>
          <w:rFonts w:ascii="Times New Roman" w:hAnsi="Times New Roman" w:eastAsia="黑体" w:cs="Times New Roman"/>
          <w:sz w:val="28"/>
          <w:szCs w:val="28"/>
        </w:rPr>
        <w:t>录</w:t>
      </w:r>
      <w:bookmarkEnd w:id="93"/>
      <w:bookmarkEnd w:id="94"/>
    </w:p>
    <w:p>
      <w:pPr>
        <w:spacing w:line="440" w:lineRule="exact"/>
        <w:rPr>
          <w:rFonts w:ascii="Times New Roman" w:hAnsi="Times New Roman" w:eastAsia="黑体" w:cs="Times New Roman"/>
          <w:sz w:val="20"/>
          <w:szCs w:val="20"/>
        </w:rPr>
      </w:pPr>
    </w:p>
    <w:p>
      <w:pPr>
        <w:spacing w:line="440" w:lineRule="exact"/>
        <w:ind w:left="1619" w:leftChars="771"/>
        <w:rPr>
          <w:rFonts w:ascii="Times New Roman" w:hAnsi="Times New Roman" w:eastAsia="黑体" w:cs="Times New Roman"/>
          <w:sz w:val="24"/>
        </w:rPr>
      </w:pPr>
      <w:bookmarkStart w:id="95" w:name="_Toc23368_WPSOffice_Level1"/>
      <w:bookmarkStart w:id="96" w:name="_Toc6353_WPSOffice_Level1"/>
      <w:bookmarkStart w:id="97" w:name="_Toc11424_WPSOffice_Level1"/>
      <w:bookmarkStart w:id="98" w:name="_Toc30529_WPSOffice_Level1"/>
      <w:bookmarkStart w:id="99" w:name="_Toc5842_WPSOffice_Level1"/>
      <w:bookmarkStart w:id="100" w:name="_Toc12670_WPSOffice_Level1"/>
      <w:r>
        <w:rPr>
          <w:rFonts w:ascii="Times New Roman" w:hAnsi="Times New Roman" w:eastAsia="黑体" w:cs="Times New Roman"/>
          <w:sz w:val="24"/>
        </w:rPr>
        <w:t>一、</w:t>
      </w:r>
      <w:r>
        <w:rPr>
          <w:rFonts w:hint="eastAsia" w:ascii="Times New Roman" w:hAnsi="Times New Roman" w:eastAsia="黑体" w:cs="Times New Roman"/>
          <w:sz w:val="24"/>
          <w:lang w:val="en-US" w:eastAsia="zh-CN"/>
        </w:rPr>
        <w:t>响应</w:t>
      </w:r>
      <w:r>
        <w:rPr>
          <w:rFonts w:ascii="Times New Roman" w:hAnsi="Times New Roman" w:eastAsia="黑体" w:cs="Times New Roman"/>
          <w:sz w:val="24"/>
        </w:rPr>
        <w:t>函</w:t>
      </w:r>
      <w:bookmarkEnd w:id="95"/>
      <w:bookmarkEnd w:id="96"/>
      <w:bookmarkEnd w:id="97"/>
      <w:bookmarkEnd w:id="98"/>
      <w:bookmarkEnd w:id="99"/>
    </w:p>
    <w:p>
      <w:pPr>
        <w:spacing w:line="440" w:lineRule="exact"/>
        <w:ind w:left="1619" w:leftChars="771"/>
        <w:rPr>
          <w:rFonts w:ascii="Times New Roman" w:hAnsi="Times New Roman" w:eastAsia="黑体" w:cs="Times New Roman"/>
          <w:sz w:val="24"/>
        </w:rPr>
      </w:pPr>
      <w:bookmarkStart w:id="101" w:name="_Toc30428_WPSOffice_Level1"/>
      <w:bookmarkStart w:id="102" w:name="_Toc31927_WPSOffice_Level1"/>
      <w:bookmarkStart w:id="103" w:name="_Toc5317_WPSOffice_Level1"/>
      <w:bookmarkStart w:id="104" w:name="_Toc21229_WPSOffice_Level1"/>
      <w:bookmarkStart w:id="105" w:name="_Toc32729_WPSOffice_Level1"/>
      <w:r>
        <w:rPr>
          <w:rFonts w:ascii="Times New Roman" w:hAnsi="Times New Roman" w:eastAsia="黑体" w:cs="Times New Roman"/>
          <w:sz w:val="24"/>
        </w:rPr>
        <w:t>二、法定代表人身份证明及授权委托书</w:t>
      </w:r>
      <w:bookmarkEnd w:id="101"/>
      <w:bookmarkEnd w:id="102"/>
      <w:bookmarkEnd w:id="103"/>
      <w:bookmarkEnd w:id="104"/>
      <w:bookmarkEnd w:id="105"/>
    </w:p>
    <w:p>
      <w:pPr>
        <w:spacing w:line="440" w:lineRule="exact"/>
        <w:ind w:left="1619" w:leftChars="771"/>
        <w:rPr>
          <w:rFonts w:ascii="Times New Roman" w:hAnsi="Times New Roman" w:eastAsia="黑体" w:cs="Times New Roman"/>
          <w:sz w:val="24"/>
        </w:rPr>
      </w:pPr>
      <w:bookmarkStart w:id="106" w:name="_Toc21853_WPSOffice_Level1"/>
      <w:bookmarkStart w:id="107" w:name="_Toc23356_WPSOffice_Level1"/>
      <w:bookmarkStart w:id="108" w:name="_Toc29085_WPSOffice_Level1"/>
      <w:bookmarkStart w:id="109" w:name="_Toc25965_WPSOffice_Level1"/>
      <w:bookmarkStart w:id="110" w:name="_Toc4728_WPSOffice_Level1"/>
      <w:r>
        <w:rPr>
          <w:rFonts w:hint="eastAsia" w:ascii="Times New Roman" w:hAnsi="Times New Roman" w:eastAsia="黑体" w:cs="Times New Roman"/>
          <w:sz w:val="24"/>
        </w:rPr>
        <w:t>三</w:t>
      </w:r>
      <w:r>
        <w:rPr>
          <w:rFonts w:ascii="Times New Roman" w:hAnsi="Times New Roman" w:eastAsia="黑体" w:cs="Times New Roman"/>
          <w:sz w:val="24"/>
        </w:rPr>
        <w:t>、</w:t>
      </w:r>
      <w:r>
        <w:rPr>
          <w:rFonts w:hint="eastAsia" w:ascii="Times New Roman" w:hAnsi="Times New Roman" w:eastAsia="黑体" w:cs="Times New Roman"/>
          <w:sz w:val="24"/>
        </w:rPr>
        <w:t>供应商基本情况</w:t>
      </w:r>
    </w:p>
    <w:bookmarkEnd w:id="106"/>
    <w:bookmarkEnd w:id="107"/>
    <w:bookmarkEnd w:id="108"/>
    <w:bookmarkEnd w:id="109"/>
    <w:bookmarkEnd w:id="110"/>
    <w:p>
      <w:pPr>
        <w:spacing w:line="440" w:lineRule="exact"/>
        <w:ind w:left="1619" w:leftChars="771"/>
        <w:rPr>
          <w:rFonts w:hint="eastAsia" w:ascii="Times New Roman" w:hAnsi="Times New Roman" w:eastAsia="黑体" w:cs="Times New Roman"/>
          <w:sz w:val="24"/>
        </w:rPr>
      </w:pPr>
      <w:bookmarkStart w:id="111" w:name="_Toc18964_WPSOffice_Level1"/>
      <w:bookmarkStart w:id="112" w:name="_Toc23744_WPSOffice_Level1"/>
      <w:bookmarkStart w:id="113" w:name="_Toc29870_WPSOffice_Level1"/>
      <w:bookmarkStart w:id="114" w:name="_Toc10608_WPSOffice_Level1"/>
      <w:bookmarkStart w:id="115" w:name="_Toc7453_WPSOffice_Level1"/>
      <w:r>
        <w:rPr>
          <w:rFonts w:hint="eastAsia" w:ascii="Times New Roman" w:hAnsi="Times New Roman" w:eastAsia="黑体" w:cs="Times New Roman"/>
          <w:sz w:val="24"/>
        </w:rPr>
        <w:t>四</w:t>
      </w:r>
      <w:r>
        <w:rPr>
          <w:rFonts w:ascii="Times New Roman" w:hAnsi="Times New Roman" w:eastAsia="黑体" w:cs="Times New Roman"/>
          <w:sz w:val="24"/>
        </w:rPr>
        <w:t>、</w:t>
      </w:r>
      <w:bookmarkEnd w:id="111"/>
      <w:bookmarkEnd w:id="112"/>
      <w:bookmarkEnd w:id="113"/>
      <w:bookmarkEnd w:id="114"/>
      <w:bookmarkEnd w:id="115"/>
      <w:bookmarkStart w:id="116" w:name="_Toc24262_WPSOffice_Level1"/>
      <w:bookmarkStart w:id="117" w:name="_Toc12459_WPSOffice_Level1"/>
      <w:r>
        <w:rPr>
          <w:rFonts w:hint="eastAsia" w:ascii="Times New Roman" w:hAnsi="Times New Roman" w:eastAsia="黑体" w:cs="Times New Roman"/>
          <w:sz w:val="24"/>
        </w:rPr>
        <w:t>近年类似业绩情况</w:t>
      </w:r>
    </w:p>
    <w:p>
      <w:pPr>
        <w:spacing w:line="440" w:lineRule="exact"/>
        <w:ind w:left="1619" w:leftChars="771"/>
        <w:rPr>
          <w:rFonts w:hint="eastAsia" w:ascii="Times New Roman" w:hAnsi="Times New Roman" w:eastAsia="黑体" w:cs="Times New Roman"/>
          <w:sz w:val="24"/>
        </w:rPr>
      </w:pPr>
      <w:r>
        <w:rPr>
          <w:rFonts w:hint="eastAsia" w:ascii="Times New Roman" w:hAnsi="Times New Roman" w:eastAsia="黑体" w:cs="Times New Roman"/>
          <w:sz w:val="24"/>
          <w:lang w:val="en-US" w:eastAsia="zh-CN"/>
        </w:rPr>
        <w:t>五</w:t>
      </w:r>
      <w:r>
        <w:rPr>
          <w:rFonts w:ascii="Times New Roman" w:hAnsi="Times New Roman" w:eastAsia="黑体" w:cs="Times New Roman"/>
          <w:sz w:val="24"/>
        </w:rPr>
        <w:t>、</w:t>
      </w:r>
      <w:r>
        <w:rPr>
          <w:rFonts w:hint="eastAsia" w:ascii="Times New Roman" w:hAnsi="Times New Roman" w:eastAsia="黑体" w:cs="Times New Roman"/>
          <w:sz w:val="24"/>
        </w:rPr>
        <w:t>信誉情况</w:t>
      </w:r>
    </w:p>
    <w:p>
      <w:pPr>
        <w:spacing w:line="440" w:lineRule="exact"/>
        <w:ind w:left="1619" w:leftChars="771"/>
        <w:rPr>
          <w:rFonts w:hint="default" w:ascii="Times New Roman" w:hAnsi="Times New Roman" w:eastAsia="黑体" w:cs="Times New Roman"/>
          <w:sz w:val="24"/>
          <w:lang w:val="en-US" w:eastAsia="zh-CN"/>
        </w:rPr>
      </w:pPr>
      <w:bookmarkStart w:id="118" w:name="_Toc20930_WPSOffice_Level1"/>
      <w:bookmarkStart w:id="119" w:name="_Toc32220_WPSOffice_Level1"/>
      <w:bookmarkStart w:id="120" w:name="_Toc927_WPSOffice_Level1"/>
      <w:r>
        <w:rPr>
          <w:rFonts w:hint="eastAsia" w:ascii="Times New Roman" w:hAnsi="Times New Roman" w:eastAsia="黑体" w:cs="Times New Roman"/>
          <w:sz w:val="24"/>
        </w:rPr>
        <w:t>六</w:t>
      </w:r>
      <w:r>
        <w:rPr>
          <w:rFonts w:ascii="Times New Roman" w:hAnsi="Times New Roman" w:eastAsia="黑体" w:cs="Times New Roman"/>
          <w:sz w:val="24"/>
        </w:rPr>
        <w:t>、</w:t>
      </w:r>
      <w:bookmarkEnd w:id="116"/>
      <w:bookmarkEnd w:id="117"/>
      <w:bookmarkEnd w:id="118"/>
      <w:bookmarkEnd w:id="119"/>
      <w:bookmarkEnd w:id="120"/>
      <w:bookmarkStart w:id="121" w:name="_Toc25973_WPSOffice_Level1"/>
      <w:bookmarkStart w:id="122" w:name="_Toc5885_WPSOffice_Level1"/>
      <w:bookmarkStart w:id="123" w:name="_Toc16988_WPSOffice_Level1"/>
      <w:r>
        <w:rPr>
          <w:rFonts w:hint="eastAsia" w:ascii="Times New Roman" w:hAnsi="Times New Roman" w:eastAsia="黑体" w:cs="Times New Roman"/>
          <w:sz w:val="24"/>
          <w:lang w:val="en-US" w:eastAsia="zh-CN"/>
        </w:rPr>
        <w:t>施工组织设计</w:t>
      </w:r>
    </w:p>
    <w:p>
      <w:pPr>
        <w:spacing w:line="440" w:lineRule="exact"/>
        <w:ind w:left="1619" w:leftChars="771"/>
        <w:rPr>
          <w:rFonts w:hint="eastAsia" w:ascii="Times New Roman" w:hAnsi="Times New Roman" w:eastAsia="黑体" w:cs="Times New Roman"/>
          <w:sz w:val="24"/>
        </w:rPr>
      </w:pPr>
      <w:r>
        <w:rPr>
          <w:rFonts w:hint="eastAsia" w:ascii="Times New Roman" w:hAnsi="Times New Roman" w:eastAsia="黑体" w:cs="Times New Roman"/>
          <w:sz w:val="24"/>
          <w:lang w:val="en-US" w:eastAsia="zh-CN"/>
        </w:rPr>
        <w:t>七、</w:t>
      </w:r>
      <w:r>
        <w:rPr>
          <w:rFonts w:hint="eastAsia" w:ascii="Times New Roman" w:hAnsi="Times New Roman" w:eastAsia="黑体" w:cs="Times New Roman"/>
          <w:sz w:val="24"/>
        </w:rPr>
        <w:t>其他材料</w:t>
      </w:r>
      <w:bookmarkEnd w:id="100"/>
      <w:bookmarkEnd w:id="121"/>
      <w:bookmarkEnd w:id="122"/>
      <w:bookmarkEnd w:id="123"/>
    </w:p>
    <w:p>
      <w:pPr>
        <w:pStyle w:val="2"/>
      </w:pPr>
    </w:p>
    <w:p>
      <w:pPr>
        <w:spacing w:line="440" w:lineRule="exact"/>
        <w:ind w:left="1619" w:leftChars="771"/>
        <w:rPr>
          <w:rFonts w:ascii="Times New Roman" w:hAnsi="Times New Roman" w:eastAsia="黑体" w:cs="Times New Roman"/>
          <w:sz w:val="24"/>
        </w:rPr>
      </w:pPr>
    </w:p>
    <w:p>
      <w:pPr>
        <w:spacing w:line="440" w:lineRule="exact"/>
        <w:ind w:left="1619" w:leftChars="771"/>
        <w:rPr>
          <w:rFonts w:ascii="Times New Roman" w:hAnsi="Times New Roman" w:eastAsia="黑体" w:cs="Times New Roman"/>
          <w:sz w:val="24"/>
        </w:rPr>
      </w:pPr>
    </w:p>
    <w:p>
      <w:pPr>
        <w:spacing w:line="440" w:lineRule="exact"/>
        <w:jc w:val="center"/>
        <w:rPr>
          <w:rFonts w:ascii="Times New Roman" w:hAnsi="Times New Roman" w:eastAsia="黑体" w:cs="Times New Roman"/>
          <w:sz w:val="20"/>
          <w:szCs w:val="20"/>
        </w:rPr>
      </w:pPr>
      <w:r>
        <w:rPr>
          <w:rFonts w:ascii="Times New Roman" w:hAnsi="Times New Roman" w:eastAsia="黑体" w:cs="Times New Roman"/>
          <w:sz w:val="20"/>
          <w:szCs w:val="20"/>
        </w:rPr>
        <w:br w:type="page"/>
      </w:r>
      <w:bookmarkStart w:id="124" w:name="_Toc1017_WPSOffice_Level1"/>
      <w:bookmarkStart w:id="125" w:name="_Toc3972_WPSOffice_Level1"/>
      <w:bookmarkStart w:id="126" w:name="_Toc1362_WPSOffice_Level1"/>
      <w:bookmarkStart w:id="127" w:name="_Toc2765_WPSOffice_Level1"/>
      <w:bookmarkStart w:id="128" w:name="_Toc1687_WPSOffice_Level1"/>
      <w:bookmarkStart w:id="129" w:name="_Toc18312_WPSOffice_Level1"/>
    </w:p>
    <w:p>
      <w:pPr>
        <w:pStyle w:val="6"/>
        <w:numPr>
          <w:ilvl w:val="0"/>
          <w:numId w:val="0"/>
        </w:numPr>
        <w:jc w:val="center"/>
        <w:rPr>
          <w:rFonts w:hint="eastAsia" w:ascii="黑体" w:hAnsi="黑体" w:eastAsia="黑体" w:cs="黑体"/>
          <w:b w:val="0"/>
          <w:bCs/>
          <w:sz w:val="28"/>
          <w:szCs w:val="24"/>
          <w:highlight w:val="none"/>
          <w:lang w:val="en-US" w:eastAsia="zh-CN"/>
        </w:rPr>
      </w:pPr>
      <w:r>
        <w:rPr>
          <w:rFonts w:hint="eastAsia" w:ascii="黑体" w:hAnsi="黑体" w:eastAsia="黑体" w:cs="黑体"/>
          <w:b w:val="0"/>
          <w:bCs/>
          <w:sz w:val="28"/>
          <w:szCs w:val="24"/>
          <w:highlight w:val="none"/>
          <w:lang w:val="en-US" w:eastAsia="zh-CN"/>
        </w:rPr>
        <w:t>一、响应函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ascii="Times New Roman" w:hAnsi="Times New Roman" w:cs="Times New Roman"/>
          <w:sz w:val="24"/>
        </w:rPr>
        <w:t>采购人名称</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cs="Times New Roman"/>
          <w:sz w:val="24"/>
        </w:rPr>
      </w:pPr>
      <w:r>
        <w:rPr>
          <w:rFonts w:hint="default" w:ascii="Times New Roman" w:hAnsi="Times New Roman" w:eastAsia="宋体" w:cs="Times New Roman"/>
          <w:sz w:val="24"/>
          <w:szCs w:val="24"/>
        </w:rPr>
        <w:t>1．</w:t>
      </w:r>
      <w:r>
        <w:rPr>
          <w:rFonts w:hint="eastAsia" w:ascii="宋体" w:hAnsi="宋体" w:eastAsia="宋体" w:cs="宋体"/>
          <w:sz w:val="24"/>
          <w:szCs w:val="24"/>
        </w:rPr>
        <w:t>我方已仔细研究了</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（项目名称）招标文件的全部内容，愿意以报价文件中的投标总报价（或根据招标文件规定修正核实后确定的另一金额）提供</w:t>
      </w:r>
      <w:r>
        <w:rPr>
          <w:rFonts w:hint="eastAsia" w:ascii="Times New Roman" w:hAnsi="Times New Roman" w:cs="Times New Roman"/>
          <w:sz w:val="24"/>
          <w:lang w:val="en-US" w:eastAsia="zh-CN"/>
        </w:rPr>
        <w:t>提供招标文件要求的货物、技术服务和质保售后服务，并按合同约定履行义务</w:t>
      </w:r>
      <w:r>
        <w:rPr>
          <w:rFonts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default" w:ascii="Times New Roman" w:hAnsi="Times New Roman" w:eastAsia="宋体" w:cs="Times New Roman"/>
          <w:sz w:val="24"/>
          <w:szCs w:val="24"/>
        </w:rPr>
        <w:t>2．</w:t>
      </w:r>
      <w:r>
        <w:rPr>
          <w:rFonts w:hint="eastAsia" w:ascii="宋体" w:hAnsi="宋体" w:eastAsia="宋体" w:cs="宋体"/>
          <w:sz w:val="24"/>
          <w:szCs w:val="24"/>
        </w:rPr>
        <w:t>我方承诺响应招标文件的全部要求。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Times New Roman" w:hAnsi="Times New Roman" w:eastAsia="宋体" w:cs="Times New Roman"/>
          <w:sz w:val="24"/>
          <w:szCs w:val="24"/>
        </w:rPr>
        <w:t>3．</w:t>
      </w:r>
      <w:r>
        <w:rPr>
          <w:rFonts w:hint="eastAsia" w:ascii="宋体" w:hAnsi="宋体" w:eastAsia="宋体" w:cs="宋体"/>
          <w:sz w:val="24"/>
          <w:szCs w:val="24"/>
        </w:rPr>
        <w:t>我方承诺在招标文件规定的投标有效期内不撤销投标文件。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default" w:ascii="Times New Roman" w:hAnsi="Times New Roman" w:eastAsia="宋体" w:cs="Times New Roman"/>
          <w:sz w:val="24"/>
          <w:szCs w:val="24"/>
        </w:rPr>
        <w:t>4．</w:t>
      </w:r>
      <w:r>
        <w:rPr>
          <w:rFonts w:hint="eastAsia" w:ascii="宋体" w:hAnsi="宋体" w:eastAsia="宋体" w:cs="宋体"/>
          <w:sz w:val="24"/>
          <w:szCs w:val="24"/>
        </w:rPr>
        <w:t>如我方中标，我方承诺：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（1）在收到中标通知书后，在中标通知书规定的期限内与你方签订合同；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（2）在签订合同时不向你方提出附加条件；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（3）按照招标文件要求提交履约保证金。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（4）在合同约定的期限内完成合同规定的全部义务；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default" w:ascii="Times New Roman" w:hAnsi="Times New Roman" w:eastAsia="宋体" w:cs="Times New Roman"/>
          <w:sz w:val="24"/>
          <w:szCs w:val="24"/>
        </w:rPr>
        <w:t>5．</w:t>
      </w:r>
      <w:r>
        <w:rPr>
          <w:rFonts w:hint="eastAsia" w:ascii="宋体" w:hAnsi="宋体" w:eastAsia="宋体" w:cs="宋体"/>
          <w:sz w:val="24"/>
          <w:szCs w:val="24"/>
        </w:rPr>
        <w:t>我方在此声明，所递交的投标文件及有关资料内容完整、真实和准确。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default" w:ascii="Times New Roman" w:hAnsi="Times New Roman" w:eastAsia="宋体" w:cs="Times New Roman"/>
          <w:sz w:val="24"/>
          <w:szCs w:val="24"/>
        </w:rPr>
        <w:t>6．</w:t>
      </w:r>
      <w:r>
        <w:rPr>
          <w:rFonts w:hint="eastAsia" w:ascii="宋体" w:hAnsi="宋体" w:eastAsia="宋体" w:cs="宋体"/>
          <w:sz w:val="24"/>
          <w:szCs w:val="24"/>
        </w:rPr>
        <w:t>在合同协议书正式签署生效之前，本投标函连同你方的中标通知书将构成我们双方之间共同遵守的文件，对双方具有约束力。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default" w:ascii="Times New Roman" w:hAnsi="Times New Roman" w:eastAsia="宋体" w:cs="Times New Roman"/>
          <w:sz w:val="24"/>
          <w:szCs w:val="24"/>
        </w:rPr>
        <w:t>7．</w:t>
      </w:r>
      <w:r>
        <w:rPr>
          <w:rFonts w:hint="eastAsia" w:ascii="宋体" w:hAnsi="宋体" w:eastAsia="宋体" w:cs="宋体"/>
          <w:sz w:val="24"/>
          <w:szCs w:val="24"/>
          <w:u w:val="single"/>
        </w:rPr>
        <w:t xml:space="preserve">                               </w:t>
      </w:r>
      <w:r>
        <w:rPr>
          <w:rFonts w:hint="eastAsia" w:ascii="宋体" w:hAnsi="宋体" w:eastAsia="宋体" w:cs="宋体"/>
          <w:sz w:val="24"/>
          <w:szCs w:val="24"/>
        </w:rPr>
        <w:t>（其他补充说明）。</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2160" w:firstLineChars="9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pPr>
        <w:keepNext w:val="0"/>
        <w:keepLines w:val="0"/>
        <w:pageBreakBefore w:val="0"/>
        <w:widowControl w:val="0"/>
        <w:kinsoku/>
        <w:wordWrap/>
        <w:overflowPunct/>
        <w:topLinePunct w:val="0"/>
        <w:autoSpaceDE/>
        <w:autoSpaceDN/>
        <w:bidi w:val="0"/>
        <w:adjustRightInd/>
        <w:snapToGrid/>
        <w:spacing w:line="440" w:lineRule="exact"/>
        <w:ind w:firstLine="2160" w:firstLineChars="9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地  址</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2160" w:firstLineChars="900"/>
        <w:jc w:val="both"/>
        <w:textAlignment w:val="auto"/>
        <w:rPr>
          <w:rFonts w:hint="eastAsia"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r>
        <w:rPr>
          <w:rFonts w:hint="eastAsia" w:ascii="宋体" w:hAnsi="宋体" w:eastAsia="宋体" w:cs="宋体"/>
          <w:sz w:val="24"/>
          <w:szCs w:val="24"/>
          <w:u w:val="none"/>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0"/>
          <w:szCs w:val="20"/>
        </w:rPr>
      </w:pPr>
    </w:p>
    <w:p>
      <w:pPr>
        <w:pStyle w:val="2"/>
      </w:pP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0"/>
          <w:szCs w:val="20"/>
        </w:rPr>
      </w:pPr>
    </w:p>
    <w:p>
      <w:pPr>
        <w:pStyle w:val="7"/>
        <w:outlineLvl w:val="9"/>
        <w:rPr>
          <w:rFonts w:ascii="Times New Roman" w:hAnsi="Times New Roman" w:eastAsia="黑体" w:cs="Times New Roman"/>
          <w:sz w:val="20"/>
          <w:szCs w:val="20"/>
        </w:rPr>
      </w:pPr>
    </w:p>
    <w:p/>
    <w:bookmarkEnd w:id="124"/>
    <w:bookmarkEnd w:id="125"/>
    <w:bookmarkEnd w:id="126"/>
    <w:bookmarkEnd w:id="127"/>
    <w:bookmarkEnd w:id="128"/>
    <w:bookmarkEnd w:id="129"/>
    <w:p>
      <w:pPr>
        <w:pStyle w:val="6"/>
        <w:numPr>
          <w:ilvl w:val="0"/>
          <w:numId w:val="0"/>
        </w:numPr>
        <w:jc w:val="center"/>
        <w:rPr>
          <w:rFonts w:hint="eastAsia" w:ascii="黑体" w:hAnsi="黑体" w:eastAsia="黑体" w:cs="黑体"/>
          <w:b w:val="0"/>
          <w:bCs/>
          <w:sz w:val="28"/>
          <w:szCs w:val="24"/>
          <w:highlight w:val="none"/>
          <w:lang w:val="en-US" w:eastAsia="zh-CN"/>
        </w:rPr>
      </w:pPr>
      <w:bookmarkStart w:id="130" w:name="_Toc21740_WPSOffice_Level1"/>
      <w:bookmarkStart w:id="131" w:name="_Toc1996_WPSOffice_Level1"/>
      <w:bookmarkStart w:id="132" w:name="_Toc18668_WPSOffice_Level1"/>
      <w:bookmarkStart w:id="133" w:name="_Toc14563_WPSOffice_Level1"/>
      <w:bookmarkStart w:id="134" w:name="_Toc32350_WPSOffice_Level1"/>
      <w:bookmarkStart w:id="135" w:name="_Toc4951_WPSOffice_Level1"/>
      <w:r>
        <w:rPr>
          <w:rFonts w:hint="eastAsia" w:ascii="黑体" w:hAnsi="黑体" w:eastAsia="黑体" w:cs="黑体"/>
          <w:b w:val="0"/>
          <w:bCs/>
          <w:sz w:val="28"/>
          <w:szCs w:val="24"/>
          <w:highlight w:val="none"/>
          <w:lang w:val="en-US" w:eastAsia="zh-CN"/>
        </w:rPr>
        <w:t>二、法定代表人身份证明及授权委托书</w:t>
      </w:r>
      <w:bookmarkEnd w:id="130"/>
      <w:bookmarkEnd w:id="131"/>
      <w:bookmarkEnd w:id="132"/>
      <w:bookmarkEnd w:id="133"/>
      <w:bookmarkEnd w:id="134"/>
      <w:bookmarkEnd w:id="135"/>
    </w:p>
    <w:p>
      <w:pPr>
        <w:spacing w:line="440" w:lineRule="exact"/>
        <w:jc w:val="center"/>
        <w:rPr>
          <w:rFonts w:ascii="Times New Roman" w:hAnsi="Times New Roman" w:cs="Times New Roman"/>
          <w:sz w:val="28"/>
          <w:szCs w:val="28"/>
        </w:rPr>
      </w:pPr>
      <w:bookmarkStart w:id="136" w:name="_Toc20803_WPSOffice_Level2"/>
      <w:bookmarkStart w:id="137" w:name="_Toc5153_WPSOffice_Level2"/>
      <w:r>
        <w:rPr>
          <w:rFonts w:ascii="Times New Roman" w:hAnsi="Times New Roman" w:eastAsia="黑体" w:cs="Times New Roman"/>
          <w:bCs/>
          <w:sz w:val="28"/>
          <w:szCs w:val="28"/>
        </w:rPr>
        <w:t>2-1 法定代表人身份证明</w:t>
      </w:r>
      <w:bookmarkEnd w:id="136"/>
      <w:bookmarkEnd w:id="137"/>
    </w:p>
    <w:p>
      <w:pPr>
        <w:spacing w:line="440" w:lineRule="exact"/>
        <w:rPr>
          <w:rFonts w:ascii="Times New Roman" w:hAnsi="Times New Roman" w:cs="Times New Roman"/>
          <w:sz w:val="20"/>
          <w:szCs w:val="20"/>
        </w:rPr>
      </w:pPr>
    </w:p>
    <w:p>
      <w:pPr>
        <w:spacing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p>
    <w:p>
      <w:pPr>
        <w:spacing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单位性质：</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p>
    <w:p>
      <w:pPr>
        <w:spacing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地址：</w:t>
      </w:r>
      <w:r>
        <w:rPr>
          <w:rFonts w:hint="eastAsia" w:asciiTheme="minorEastAsia" w:hAnsiTheme="minorEastAsia" w:eastAsiaTheme="minorEastAsia" w:cstheme="minorEastAsia"/>
          <w:sz w:val="24"/>
          <w:u w:val="single"/>
        </w:rPr>
        <w:t xml:space="preserve">                                   </w:t>
      </w:r>
    </w:p>
    <w:p>
      <w:pPr>
        <w:spacing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成立时间：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日</w:t>
      </w:r>
    </w:p>
    <w:p>
      <w:pPr>
        <w:spacing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经营期限：</w:t>
      </w:r>
      <w:r>
        <w:rPr>
          <w:rFonts w:hint="eastAsia" w:asciiTheme="minorEastAsia" w:hAnsiTheme="minorEastAsia" w:eastAsiaTheme="minorEastAsia" w:cstheme="minorEastAsia"/>
          <w:sz w:val="24"/>
          <w:u w:val="single"/>
        </w:rPr>
        <w:t xml:space="preserve">                               </w:t>
      </w:r>
    </w:p>
    <w:p>
      <w:pPr>
        <w:spacing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姓名：</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sz w:val="24"/>
        </w:rPr>
        <w:t xml:space="preserve"> 性别：</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年龄：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职务：</w:t>
      </w:r>
      <w:r>
        <w:rPr>
          <w:rFonts w:hint="eastAsia" w:asciiTheme="minorEastAsia" w:hAnsiTheme="minorEastAsia" w:eastAsiaTheme="minorEastAsia" w:cstheme="minorEastAsia"/>
          <w:sz w:val="24"/>
          <w:u w:val="single"/>
        </w:rPr>
        <w:t xml:space="preserve">        </w:t>
      </w:r>
    </w:p>
    <w:p>
      <w:pPr>
        <w:spacing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系</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(供应商名称)的法定代表人。</w:t>
      </w:r>
    </w:p>
    <w:p>
      <w:pPr>
        <w:spacing w:line="440" w:lineRule="exact"/>
        <w:ind w:firstLine="480" w:firstLineChars="200"/>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附：法定代表人身份证正反面复印件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hint="eastAsia" w:ascii="宋体" w:hAnsi="宋体" w:eastAsia="宋体" w:cs="宋体"/>
          <w:sz w:val="24"/>
        </w:rPr>
      </w:pPr>
      <w:r>
        <w:rPr>
          <w:rFonts w:ascii="Times New Roman" w:hAnsi="Times New Roman" w:cs="Times New Roman"/>
          <w:sz w:val="24"/>
        </w:rPr>
        <w:t xml:space="preserve">                         </w:t>
      </w:r>
      <w:r>
        <w:rPr>
          <w:rFonts w:hint="eastAsia" w:ascii="宋体" w:hAnsi="宋体" w:eastAsia="宋体" w:cs="宋体"/>
          <w:sz w:val="24"/>
        </w:rPr>
        <w:t xml:space="preserve"> 供应商：</w:t>
      </w:r>
      <w:r>
        <w:rPr>
          <w:rFonts w:hint="eastAsia" w:ascii="宋体" w:hAnsi="宋体" w:eastAsia="宋体" w:cs="宋体"/>
          <w:sz w:val="24"/>
          <w:u w:val="single"/>
        </w:rPr>
        <w:t xml:space="preserve">                 </w:t>
      </w:r>
      <w:r>
        <w:rPr>
          <w:rFonts w:hint="eastAsia" w:ascii="宋体" w:hAnsi="宋体" w:eastAsia="宋体" w:cs="宋体"/>
          <w:sz w:val="24"/>
        </w:rPr>
        <w:t>(盖单位章)</w:t>
      </w:r>
    </w:p>
    <w:p>
      <w:pPr>
        <w:spacing w:line="440" w:lineRule="exact"/>
        <w:rPr>
          <w:rFonts w:ascii="Times New Roman" w:hAnsi="Times New Roman" w:cs="Times New Roman"/>
          <w:sz w:val="24"/>
        </w:rPr>
      </w:pP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 xml:space="preserve"> 日  </w:t>
      </w:r>
      <w:r>
        <w:rPr>
          <w:rFonts w:ascii="Times New Roman" w:hAnsi="Times New Roman" w:cs="Times New Roman"/>
          <w:sz w:val="24"/>
        </w:rPr>
        <w:t xml:space="preserve">         </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hint="eastAsia" w:ascii="Times New Roman" w:hAnsi="Times New Roman" w:cs="Times New Roman" w:eastAsiaTheme="minorEastAsia"/>
          <w:sz w:val="28"/>
          <w:szCs w:val="28"/>
          <w:lang w:eastAsia="zh-CN"/>
        </w:rPr>
      </w:pPr>
      <w:r>
        <w:rPr>
          <w:rFonts w:ascii="Times New Roman" w:hAnsi="Times New Roman" w:eastAsia="黑体" w:cs="Times New Roman"/>
          <w:sz w:val="24"/>
        </w:rPr>
        <w:br w:type="page"/>
      </w:r>
      <w:bookmarkStart w:id="138" w:name="_Toc12035_WPSOffice_Level2"/>
      <w:bookmarkStart w:id="139" w:name="_Toc19768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138"/>
      <w:bookmarkEnd w:id="139"/>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w:t>
      </w:r>
      <w:r>
        <w:rPr>
          <w:rFonts w:ascii="Times New Roman" w:hAnsi="Times New Roman" w:cs="Times New Roman"/>
          <w:sz w:val="24"/>
          <w:u w:val="single"/>
        </w:rPr>
        <w:t xml:space="preserve">             </w:t>
      </w:r>
      <w:r>
        <w:rPr>
          <w:rFonts w:ascii="Times New Roman" w:hAnsi="Times New Roman" w:cs="Times New Roman"/>
          <w:sz w:val="24"/>
        </w:rPr>
        <w:t>(姓名)系</w:t>
      </w:r>
      <w:r>
        <w:rPr>
          <w:rFonts w:ascii="Times New Roman" w:hAnsi="Times New Roman" w:cs="Times New Roman"/>
          <w:sz w:val="24"/>
          <w:u w:val="single"/>
        </w:rPr>
        <w:t xml:space="preserve">          </w:t>
      </w:r>
      <w:r>
        <w:rPr>
          <w:rFonts w:ascii="Times New Roman" w:hAnsi="Times New Roman" w:cs="Times New Roman"/>
          <w:sz w:val="24"/>
        </w:rPr>
        <w:t>(供应商名称)的法定代表人，现委托</w:t>
      </w:r>
      <w:r>
        <w:rPr>
          <w:rFonts w:ascii="Times New Roman" w:hAnsi="Times New Roman" w:cs="Times New Roman"/>
          <w:sz w:val="24"/>
          <w:u w:val="single"/>
        </w:rPr>
        <w:t xml:space="preserve">        </w:t>
      </w:r>
      <w:r>
        <w:rPr>
          <w:rFonts w:ascii="Times New Roman" w:hAnsi="Times New Roman" w:cs="Times New Roman"/>
          <w:sz w:val="24"/>
        </w:rPr>
        <w:t>(姓名)为我方代理人。代理人根据授权，以我方名义签署、澄清、说明、补正、递交、撤回、修改</w:t>
      </w:r>
      <w:r>
        <w:rPr>
          <w:rFonts w:ascii="Times New Roman" w:hAnsi="Times New Roman" w:cs="Times New Roman"/>
          <w:sz w:val="24"/>
          <w:u w:val="single"/>
        </w:rPr>
        <w:t xml:space="preserve">                     </w:t>
      </w:r>
      <w:r>
        <w:rPr>
          <w:rFonts w:ascii="Times New Roman" w:hAnsi="Times New Roman" w:cs="Times New Roman"/>
          <w:sz w:val="24"/>
        </w:rPr>
        <w:t>(项目名称)响应文件、签订合同和处理有关事宜，其法律后果由我方承担。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 xml:space="preserve">    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b/>
          <w:bCs/>
          <w:sz w:val="24"/>
          <w:highlight w:val="none"/>
        </w:rPr>
      </w:pPr>
      <w:r>
        <w:rPr>
          <w:rFonts w:ascii="Times New Roman" w:hAnsi="Times New Roman" w:cs="Times New Roman"/>
          <w:b/>
          <w:bCs/>
          <w:sz w:val="24"/>
          <w:highlight w:val="none"/>
        </w:rPr>
        <w:t>附：法定代表人身份证明</w:t>
      </w:r>
      <w:r>
        <w:rPr>
          <w:rFonts w:hint="eastAsia" w:ascii="Times New Roman" w:hAnsi="Times New Roman" w:cs="Times New Roman"/>
          <w:b/>
          <w:bCs/>
          <w:sz w:val="24"/>
          <w:highlight w:val="none"/>
        </w:rPr>
        <w:t>、委托代理人的身份证正反面复印件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hint="eastAsia" w:asciiTheme="minorEastAsia" w:hAnsiTheme="minorEastAsia" w:eastAsiaTheme="minorEastAsia" w:cstheme="minorEastAsia"/>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hint="eastAsia" w:asciiTheme="minorEastAsia" w:hAnsiTheme="minorEastAsia" w:eastAsiaTheme="minorEastAsia" w:cstheme="minorEastAsia"/>
          <w:sz w:val="24"/>
        </w:rPr>
        <w:t>(盖单位章)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ascii="Times New Roman" w:hAnsi="Times New Roman" w:cs="Times New Roman"/>
          <w:sz w:val="24"/>
          <w:u w:val="single"/>
        </w:rPr>
        <w:t xml:space="preserve">                         </w:t>
      </w:r>
      <w:r>
        <w:rPr>
          <w:rFonts w:hint="eastAsia" w:ascii="宋体" w:hAnsi="宋体" w:eastAsia="宋体" w:cs="宋体"/>
          <w:sz w:val="24"/>
          <w:szCs w:val="24"/>
        </w:rPr>
        <w:t>（签字或盖章）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ascii="Times New Roman" w:hAnsi="Times New Roman" w:cs="Times New Roman"/>
          <w:sz w:val="24"/>
          <w:u w:val="single"/>
        </w:rPr>
        <w:t xml:space="preserve">                               </w:t>
      </w:r>
      <w:r>
        <w:rPr>
          <w:rFonts w:hint="eastAsia" w:ascii="宋体" w:hAnsi="宋体" w:eastAsia="宋体" w:cs="宋体"/>
          <w:sz w:val="24"/>
          <w:szCs w:val="24"/>
        </w:rPr>
        <w:t>（签字）</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3000" w:firstLineChars="1250"/>
        <w:rPr>
          <w:rFonts w:ascii="Times New Roman" w:hAnsi="Times New Roman" w:eastAsia="黑体" w:cs="Times New Roman"/>
          <w:sz w:val="24"/>
        </w:rPr>
        <w:sectPr>
          <w:footerReference r:id="rId6" w:type="default"/>
          <w:footnotePr>
            <w:numFmt w:val="decimalEnclosedCircleChinese"/>
          </w:footnotePr>
          <w:pgSz w:w="11906" w:h="16838"/>
          <w:pgMar w:top="1440" w:right="1797" w:bottom="1440" w:left="1797" w:header="851" w:footer="992" w:gutter="0"/>
          <w:pgNumType w:fmt="decimal"/>
          <w:cols w:space="720" w:num="1"/>
          <w:docGrid w:type="linesAndChars" w:linePitch="312" w:charSpace="0"/>
        </w:sect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bookmarkStart w:id="140" w:name="_Toc28828_WPSOffice_Level1"/>
      <w:bookmarkStart w:id="141" w:name="_Toc32085_WPSOffice_Level1"/>
      <w:bookmarkStart w:id="142" w:name="_Toc26364_WPSOffice_Level1"/>
      <w:bookmarkStart w:id="143" w:name="_Toc27513_WPSOffice_Level1"/>
      <w:bookmarkStart w:id="144" w:name="_Toc24567_WPSOffice_Level1"/>
      <w:bookmarkStart w:id="145" w:name="_Toc24530_WPSOffice_Level1"/>
    </w:p>
    <w:bookmarkEnd w:id="140"/>
    <w:bookmarkEnd w:id="141"/>
    <w:bookmarkEnd w:id="142"/>
    <w:bookmarkEnd w:id="143"/>
    <w:bookmarkEnd w:id="144"/>
    <w:bookmarkEnd w:id="145"/>
    <w:p>
      <w:pPr>
        <w:pStyle w:val="6"/>
        <w:numPr>
          <w:ilvl w:val="0"/>
          <w:numId w:val="0"/>
        </w:numPr>
        <w:jc w:val="center"/>
        <w:rPr>
          <w:rFonts w:hint="eastAsia" w:ascii="黑体" w:hAnsi="黑体" w:eastAsia="黑体" w:cs="黑体"/>
          <w:b w:val="0"/>
          <w:bCs/>
          <w:sz w:val="28"/>
          <w:szCs w:val="24"/>
          <w:highlight w:val="none"/>
          <w:lang w:val="en-US" w:eastAsia="zh-CN"/>
        </w:rPr>
      </w:pPr>
      <w:bookmarkStart w:id="146" w:name="_Toc19015_WPSOffice_Level1"/>
      <w:bookmarkStart w:id="147" w:name="_Toc17124_WPSOffice_Level1"/>
      <w:bookmarkStart w:id="148" w:name="_Toc10436_WPSOffice_Level1"/>
      <w:bookmarkStart w:id="149" w:name="_Toc10646_WPSOffice_Level1"/>
      <w:bookmarkStart w:id="150" w:name="_Toc7738_WPSOffice_Level1"/>
      <w:bookmarkStart w:id="151" w:name="_Toc31445_WPSOffice_Level1"/>
      <w:r>
        <w:rPr>
          <w:rFonts w:hint="eastAsia" w:ascii="黑体" w:hAnsi="黑体" w:eastAsia="黑体" w:cs="黑体"/>
          <w:b w:val="0"/>
          <w:bCs/>
          <w:sz w:val="28"/>
          <w:szCs w:val="24"/>
          <w:highlight w:val="none"/>
          <w:lang w:val="en-US" w:eastAsia="zh-CN"/>
        </w:rPr>
        <w:t>三、</w:t>
      </w:r>
      <w:bookmarkStart w:id="152" w:name="_Toc2807_WPSOffice_Level2"/>
      <w:bookmarkStart w:id="153" w:name="_Toc27600_WPSOffice_Level2"/>
      <w:r>
        <w:rPr>
          <w:rFonts w:hint="eastAsia" w:ascii="黑体" w:hAnsi="黑体" w:eastAsia="黑体" w:cs="黑体"/>
          <w:b w:val="0"/>
          <w:bCs/>
          <w:sz w:val="28"/>
          <w:szCs w:val="24"/>
          <w:highlight w:val="none"/>
          <w:lang w:val="en-US" w:eastAsia="zh-CN"/>
        </w:rPr>
        <w:t>供应商基本情况</w:t>
      </w:r>
      <w:bookmarkEnd w:id="146"/>
      <w:bookmarkEnd w:id="147"/>
      <w:bookmarkEnd w:id="148"/>
      <w:bookmarkEnd w:id="149"/>
      <w:bookmarkEnd w:id="150"/>
      <w:bookmarkEnd w:id="151"/>
      <w:bookmarkEnd w:id="152"/>
      <w:bookmarkEnd w:id="153"/>
    </w:p>
    <w:p>
      <w:pPr>
        <w:topLinePunct/>
        <w:spacing w:line="440" w:lineRule="exact"/>
        <w:jc w:val="center"/>
        <w:rPr>
          <w:rFonts w:ascii="Times New Roman" w:hAnsi="Times New Roman" w:cs="Times New Roman"/>
          <w:sz w:val="23"/>
          <w:szCs w:val="23"/>
        </w:rPr>
      </w:pPr>
    </w:p>
    <w:tbl>
      <w:tblPr>
        <w:tblStyle w:val="21"/>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 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w:t>
            </w:r>
            <w:r>
              <w:rPr>
                <w:rFonts w:hint="eastAsia" w:ascii="Times New Roman" w:hAnsi="Times New Roman" w:cs="Times New Roman"/>
                <w:szCs w:val="21"/>
              </w:rPr>
              <w:t xml:space="preserve"> </w:t>
            </w:r>
            <w:r>
              <w:rPr>
                <w:rFonts w:ascii="Times New Roman" w:hAnsi="Times New Roman" w:cs="Times New Roman"/>
                <w:szCs w:val="21"/>
              </w:rPr>
              <w:t>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  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keepNext w:val="0"/>
        <w:keepLines w:val="0"/>
        <w:pageBreakBefore w:val="0"/>
        <w:widowControl/>
        <w:kinsoku/>
        <w:wordWrap/>
        <w:overflowPunct/>
        <w:topLinePunct w:val="0"/>
        <w:autoSpaceDE w:val="0"/>
        <w:autoSpaceDN w:val="0"/>
        <w:bidi w:val="0"/>
        <w:adjustRightInd/>
        <w:snapToGrid/>
        <w:spacing w:line="360" w:lineRule="atLeast"/>
        <w:ind w:firstLine="420" w:firstLineChars="200"/>
        <w:textAlignment w:val="bottom"/>
        <w:rPr>
          <w:rFonts w:ascii="Times New Roman" w:hAnsi="Times New Roman" w:eastAsia="黑体" w:cs="Times New Roman"/>
          <w:sz w:val="21"/>
          <w:szCs w:val="21"/>
        </w:rPr>
      </w:pPr>
      <w:r>
        <w:rPr>
          <w:rFonts w:ascii="Times New Roman" w:hAnsi="Times New Roman" w:eastAsia="黑体" w:cs="Times New Roman"/>
          <w:sz w:val="21"/>
          <w:szCs w:val="21"/>
        </w:rPr>
        <w:t>在本表后应附企业法人营业执照、资质证书</w:t>
      </w:r>
      <w:r>
        <w:rPr>
          <w:rFonts w:hint="eastAsia" w:ascii="Times New Roman" w:hAnsi="Times New Roman" w:eastAsia="黑体" w:cs="Times New Roman"/>
          <w:sz w:val="21"/>
          <w:szCs w:val="21"/>
          <w:lang w:eastAsia="zh-CN"/>
        </w:rPr>
        <w:t>（</w:t>
      </w:r>
      <w:r>
        <w:rPr>
          <w:rFonts w:hint="eastAsia" w:ascii="Times New Roman" w:hAnsi="Times New Roman" w:eastAsia="黑体" w:cs="Times New Roman"/>
          <w:sz w:val="21"/>
          <w:szCs w:val="21"/>
          <w:lang w:val="en-US" w:eastAsia="zh-CN"/>
        </w:rPr>
        <w:t>如有</w:t>
      </w:r>
      <w:r>
        <w:rPr>
          <w:rFonts w:hint="eastAsia" w:ascii="Times New Roman" w:hAnsi="Times New Roman" w:eastAsia="黑体" w:cs="Times New Roman"/>
          <w:sz w:val="21"/>
          <w:szCs w:val="21"/>
          <w:lang w:eastAsia="zh-CN"/>
        </w:rPr>
        <w:t>）</w:t>
      </w:r>
      <w:r>
        <w:rPr>
          <w:rFonts w:ascii="Times New Roman" w:hAnsi="Times New Roman" w:eastAsia="黑体" w:cs="Times New Roman"/>
          <w:sz w:val="21"/>
          <w:szCs w:val="21"/>
        </w:rPr>
        <w:t>、</w:t>
      </w:r>
      <w:r>
        <w:rPr>
          <w:rFonts w:hint="eastAsia" w:ascii="Times New Roman" w:hAnsi="Times New Roman" w:eastAsia="黑体" w:cs="Times New Roman"/>
          <w:sz w:val="21"/>
          <w:szCs w:val="21"/>
          <w:lang w:val="en-US" w:eastAsia="zh-CN"/>
        </w:rPr>
        <w:t>制造商</w:t>
      </w:r>
      <w:r>
        <w:rPr>
          <w:rFonts w:hint="eastAsia" w:ascii="Times New Roman" w:hAnsi="Times New Roman" w:eastAsia="黑体" w:cs="Times New Roman"/>
          <w:sz w:val="21"/>
          <w:szCs w:val="21"/>
          <w:highlight w:val="none"/>
          <w:lang w:val="en-US" w:eastAsia="zh-CN"/>
        </w:rPr>
        <w:t>授权书等证明材料（如有）</w:t>
      </w:r>
      <w:r>
        <w:rPr>
          <w:rFonts w:ascii="Times New Roman" w:hAnsi="Times New Roman" w:eastAsia="黑体" w:cs="Times New Roman"/>
          <w:sz w:val="21"/>
          <w:szCs w:val="21"/>
        </w:rPr>
        <w:t>及资格审查要求的其他证件复印件。</w:t>
      </w:r>
    </w:p>
    <w:p>
      <w:pPr>
        <w:keepNext w:val="0"/>
        <w:keepLines w:val="0"/>
        <w:pageBreakBefore w:val="0"/>
        <w:widowControl/>
        <w:kinsoku/>
        <w:wordWrap/>
        <w:overflowPunct/>
        <w:topLinePunct w:val="0"/>
        <w:autoSpaceDE w:val="0"/>
        <w:autoSpaceDN w:val="0"/>
        <w:bidi w:val="0"/>
        <w:adjustRightInd/>
        <w:snapToGrid/>
        <w:spacing w:line="360" w:lineRule="atLeast"/>
        <w:ind w:left="420" w:leftChars="200" w:firstLine="420" w:firstLineChars="200"/>
        <w:textAlignment w:val="bottom"/>
        <w:rPr>
          <w:rFonts w:ascii="Times New Roman" w:hAnsi="Times New Roman" w:eastAsia="黑体" w:cs="Times New Roman"/>
          <w:szCs w:val="21"/>
        </w:rPr>
      </w:pPr>
    </w:p>
    <w:p>
      <w:pPr>
        <w:spacing w:line="360" w:lineRule="auto"/>
        <w:ind w:firstLine="2520" w:firstLineChars="1200"/>
        <w:rPr>
          <w:rFonts w:hint="eastAsia" w:hAnsi="宋体" w:cs="宋体"/>
          <w:bCs/>
          <w:color w:val="auto"/>
        </w:rPr>
      </w:pPr>
      <w:r>
        <w:rPr>
          <w:rFonts w:ascii="Times New Roman" w:hAnsi="Times New Roman" w:eastAsia="黑体" w:cs="Times New Roman"/>
          <w:szCs w:val="21"/>
        </w:rPr>
        <w:br w:type="page"/>
      </w:r>
    </w:p>
    <w:p>
      <w:pPr>
        <w:pStyle w:val="6"/>
        <w:numPr>
          <w:ilvl w:val="0"/>
          <w:numId w:val="0"/>
        </w:numPr>
        <w:jc w:val="center"/>
        <w:rPr>
          <w:rFonts w:hint="eastAsia" w:ascii="黑体" w:hAnsi="黑体" w:eastAsia="黑体" w:cs="黑体"/>
          <w:b w:val="0"/>
          <w:bCs/>
          <w:sz w:val="28"/>
          <w:szCs w:val="24"/>
          <w:highlight w:val="none"/>
          <w:lang w:val="en-US" w:eastAsia="zh-CN"/>
        </w:rPr>
      </w:pPr>
      <w:bookmarkStart w:id="154" w:name="_Toc5072_WPSOffice_Level1"/>
      <w:bookmarkStart w:id="155" w:name="_Toc3772_WPSOffice_Level1"/>
      <w:bookmarkStart w:id="156" w:name="_Toc3912"/>
      <w:bookmarkStart w:id="157" w:name="_Toc18547_WPSOffice_Level1"/>
      <w:bookmarkStart w:id="158" w:name="_Toc1452_WPSOffice_Level1"/>
      <w:bookmarkStart w:id="159" w:name="_Toc19004_WPSOffice_Level1"/>
      <w:r>
        <w:rPr>
          <w:rFonts w:hint="eastAsia" w:ascii="黑体" w:hAnsi="黑体" w:eastAsia="黑体" w:cs="黑体"/>
          <w:b w:val="0"/>
          <w:bCs/>
          <w:sz w:val="28"/>
          <w:szCs w:val="24"/>
          <w:highlight w:val="none"/>
          <w:lang w:val="en-US" w:eastAsia="zh-CN"/>
        </w:rPr>
        <w:t>四、近年类似业绩情况</w:t>
      </w:r>
      <w:bookmarkEnd w:id="154"/>
      <w:bookmarkEnd w:id="155"/>
      <w:bookmarkEnd w:id="156"/>
      <w:bookmarkEnd w:id="157"/>
      <w:bookmarkEnd w:id="158"/>
      <w:bookmarkEnd w:id="159"/>
    </w:p>
    <w:tbl>
      <w:tblPr>
        <w:tblStyle w:val="2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业主代表姓名</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业主代表</w:t>
            </w:r>
            <w:r>
              <w:rPr>
                <w:rFonts w:ascii="Times New Roman" w:hAnsi="Times New Roman" w:cs="Times New Roman"/>
                <w:szCs w:val="21"/>
              </w:rPr>
              <w:t>电话</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lang w:val="en-US" w:eastAsia="zh-CN"/>
              </w:rPr>
              <w:t>供货</w:t>
            </w:r>
            <w:r>
              <w:rPr>
                <w:rFonts w:hint="eastAsia" w:ascii="Times New Roman" w:hAnsi="Times New Roman" w:cs="Times New Roman"/>
                <w:szCs w:val="21"/>
              </w:rPr>
              <w:t>内容</w:t>
            </w:r>
            <w:r>
              <w:rPr>
                <w:rFonts w:ascii="Times New Roman" w:hAnsi="Times New Roman" w:cs="Times New Roman"/>
                <w:szCs w:val="21"/>
              </w:rPr>
              <w:t>描述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tcPr>
          <w:p>
            <w:pPr>
              <w:topLinePunct/>
              <w:spacing w:line="440" w:lineRule="exact"/>
              <w:rPr>
                <w:rFonts w:ascii="Times New Roman" w:hAnsi="Times New Roman" w:cs="Times New Roman"/>
                <w:szCs w:val="21"/>
              </w:rPr>
            </w:pPr>
          </w:p>
        </w:tc>
      </w:tr>
    </w:tbl>
    <w:p>
      <w:pPr>
        <w:widowControl/>
        <w:autoSpaceDE w:val="0"/>
        <w:autoSpaceDN w:val="0"/>
        <w:spacing w:line="360" w:lineRule="atLeast"/>
        <w:ind w:left="418" w:hanging="418" w:hangingChars="209"/>
        <w:textAlignment w:val="bottom"/>
        <w:rPr>
          <w:rFonts w:ascii="Times New Roman" w:hAnsi="Times New Roman" w:eastAsia="黑体" w:cs="Times New Roman"/>
          <w:sz w:val="20"/>
          <w:szCs w:val="20"/>
        </w:rPr>
      </w:pPr>
      <w:r>
        <w:rPr>
          <w:rFonts w:ascii="Times New Roman" w:hAnsi="Times New Roman" w:eastAsia="黑体" w:cs="Times New Roman"/>
          <w:sz w:val="20"/>
          <w:szCs w:val="20"/>
        </w:rPr>
        <w:t>注：</w:t>
      </w:r>
    </w:p>
    <w:p>
      <w:pPr>
        <w:keepNext w:val="0"/>
        <w:keepLines w:val="0"/>
        <w:pageBreakBefore w:val="0"/>
        <w:widowControl/>
        <w:numPr>
          <w:ilvl w:val="0"/>
          <w:numId w:val="4"/>
        </w:numPr>
        <w:kinsoku/>
        <w:wordWrap/>
        <w:overflowPunct/>
        <w:topLinePunct w:val="0"/>
        <w:autoSpaceDE w:val="0"/>
        <w:autoSpaceDN w:val="0"/>
        <w:bidi w:val="0"/>
        <w:adjustRightInd/>
        <w:snapToGrid/>
        <w:spacing w:line="320" w:lineRule="exact"/>
        <w:ind w:left="0" w:leftChars="0" w:firstLine="420" w:firstLineChars="200"/>
        <w:textAlignment w:val="bottom"/>
        <w:rPr>
          <w:rFonts w:hint="eastAsia" w:ascii="黑体" w:hAnsi="黑体" w:eastAsia="黑体" w:cs="黑体"/>
          <w:sz w:val="21"/>
          <w:szCs w:val="21"/>
        </w:rPr>
      </w:pPr>
      <w:r>
        <w:rPr>
          <w:rFonts w:hint="eastAsia" w:ascii="黑体" w:hAnsi="黑体" w:eastAsia="黑体" w:cs="黑体"/>
          <w:sz w:val="21"/>
          <w:szCs w:val="21"/>
        </w:rPr>
        <w:t>每张表格只填写一个项目，并标明序号。</w:t>
      </w:r>
    </w:p>
    <w:p>
      <w:pPr>
        <w:keepNext w:val="0"/>
        <w:keepLines w:val="0"/>
        <w:pageBreakBefore w:val="0"/>
        <w:widowControl/>
        <w:numPr>
          <w:ilvl w:val="0"/>
          <w:numId w:val="0"/>
        </w:numPr>
        <w:kinsoku/>
        <w:wordWrap/>
        <w:overflowPunct/>
        <w:topLinePunct w:val="0"/>
        <w:autoSpaceDE w:val="0"/>
        <w:autoSpaceDN w:val="0"/>
        <w:bidi w:val="0"/>
        <w:adjustRightInd/>
        <w:snapToGrid/>
        <w:spacing w:line="320" w:lineRule="exact"/>
        <w:ind w:left="0" w:leftChars="0" w:firstLine="420" w:firstLineChars="200"/>
        <w:textAlignment w:val="bottom"/>
        <w:rPr>
          <w:rFonts w:hint="default" w:ascii="黑体" w:hAnsi="黑体" w:eastAsia="黑体" w:cs="黑体"/>
          <w:sz w:val="21"/>
          <w:szCs w:val="21"/>
          <w:lang w:val="en-US" w:eastAsia="zh-CN"/>
        </w:rPr>
      </w:pPr>
      <w:r>
        <w:rPr>
          <w:rFonts w:hint="eastAsia" w:ascii="黑体" w:hAnsi="黑体" w:eastAsia="黑体" w:cs="黑体"/>
          <w:sz w:val="21"/>
          <w:szCs w:val="21"/>
        </w:rPr>
        <w:t>2、业绩证明材料要求：</w:t>
      </w:r>
      <w:r>
        <w:rPr>
          <w:rFonts w:hint="eastAsia" w:ascii="黑体" w:hAnsi="黑体" w:eastAsia="黑体" w:cs="黑体"/>
          <w:sz w:val="21"/>
          <w:szCs w:val="21"/>
          <w:u w:val="single"/>
          <w:lang w:val="en-US" w:eastAsia="zh-CN"/>
        </w:rPr>
        <w:t>详见业绩最低要求</w:t>
      </w:r>
      <w:r>
        <w:rPr>
          <w:rFonts w:hint="eastAsia" w:ascii="黑体" w:hAnsi="黑体" w:eastAsia="黑体" w:cs="黑体"/>
          <w:sz w:val="21"/>
          <w:szCs w:val="21"/>
          <w:lang w:val="en-US" w:eastAsia="zh-CN"/>
        </w:rPr>
        <w:t>。</w:t>
      </w:r>
    </w:p>
    <w:p>
      <w:pPr>
        <w:keepNext w:val="0"/>
        <w:keepLines w:val="0"/>
        <w:pageBreakBefore w:val="0"/>
        <w:widowControl/>
        <w:numPr>
          <w:ilvl w:val="0"/>
          <w:numId w:val="0"/>
        </w:numPr>
        <w:kinsoku/>
        <w:wordWrap/>
        <w:overflowPunct/>
        <w:topLinePunct w:val="0"/>
        <w:autoSpaceDE w:val="0"/>
        <w:autoSpaceDN w:val="0"/>
        <w:bidi w:val="0"/>
        <w:adjustRightInd/>
        <w:snapToGrid/>
        <w:spacing w:line="320" w:lineRule="exact"/>
        <w:ind w:left="0" w:leftChars="0" w:firstLine="420" w:firstLineChars="200"/>
        <w:textAlignment w:val="bottom"/>
        <w:rPr>
          <w:rFonts w:ascii="Times New Roman" w:hAnsi="Times New Roman" w:cs="Times New Roman"/>
          <w:bCs/>
          <w:kern w:val="0"/>
          <w:sz w:val="20"/>
          <w:szCs w:val="20"/>
        </w:rPr>
      </w:pPr>
      <w:r>
        <w:rPr>
          <w:rFonts w:hint="eastAsia" w:ascii="黑体" w:hAnsi="黑体" w:eastAsia="黑体" w:cs="黑体"/>
          <w:sz w:val="21"/>
          <w:szCs w:val="21"/>
        </w:rPr>
        <w:t>3、如近年来，供应商法人机构发生合法变更或重组或法人名称变更时，应提供相关部门的合法批件或其他相关证明材料来证明其所附业绩的继承性。</w:t>
      </w:r>
      <w:r>
        <w:rPr>
          <w:rFonts w:ascii="Times New Roman" w:hAnsi="Times New Roman" w:eastAsia="黑体" w:cs="Times New Roman"/>
          <w:bCs/>
          <w:kern w:val="0"/>
          <w:szCs w:val="21"/>
        </w:rPr>
        <w:br w:type="page"/>
      </w:r>
    </w:p>
    <w:p>
      <w:pPr>
        <w:pStyle w:val="6"/>
        <w:numPr>
          <w:ilvl w:val="0"/>
          <w:numId w:val="0"/>
        </w:numPr>
        <w:jc w:val="center"/>
        <w:rPr>
          <w:rFonts w:hint="eastAsia" w:ascii="黑体" w:hAnsi="黑体" w:eastAsia="黑体" w:cs="黑体"/>
          <w:b w:val="0"/>
          <w:bCs/>
          <w:sz w:val="28"/>
          <w:szCs w:val="24"/>
          <w:highlight w:val="none"/>
          <w:lang w:val="en-US" w:eastAsia="zh-CN"/>
        </w:rPr>
      </w:pPr>
      <w:bookmarkStart w:id="160" w:name="_Toc12019_WPSOffice_Level1"/>
      <w:bookmarkStart w:id="161" w:name="_Toc5403_WPSOffice_Level1"/>
      <w:bookmarkStart w:id="162" w:name="_Toc5889_WPSOffice_Level1"/>
      <w:bookmarkStart w:id="163" w:name="_Toc26594_WPSOffice_Level1"/>
      <w:bookmarkStart w:id="164" w:name="_Toc10810_WPSOffice_Level1"/>
      <w:bookmarkStart w:id="165" w:name="_Toc3893_WPSOffice_Level1"/>
      <w:r>
        <w:rPr>
          <w:rFonts w:hint="eastAsia" w:ascii="黑体" w:hAnsi="黑体" w:eastAsia="黑体" w:cs="黑体"/>
          <w:b w:val="0"/>
          <w:bCs/>
          <w:sz w:val="28"/>
          <w:szCs w:val="24"/>
          <w:highlight w:val="none"/>
          <w:lang w:val="en-US" w:eastAsia="zh-CN"/>
        </w:rPr>
        <w:t>五、信誉情况</w:t>
      </w:r>
      <w:bookmarkEnd w:id="160"/>
      <w:bookmarkEnd w:id="161"/>
      <w:bookmarkEnd w:id="162"/>
      <w:bookmarkEnd w:id="163"/>
      <w:bookmarkEnd w:id="164"/>
      <w:bookmarkEnd w:id="165"/>
    </w:p>
    <w:tbl>
      <w:tblPr>
        <w:tblStyle w:val="21"/>
        <w:tblW w:w="0" w:type="auto"/>
        <w:jc w:val="center"/>
        <w:tblLayout w:type="fixed"/>
        <w:tblCellMar>
          <w:top w:w="0" w:type="dxa"/>
          <w:left w:w="108" w:type="dxa"/>
          <w:bottom w:w="0" w:type="dxa"/>
          <w:right w:w="108" w:type="dxa"/>
        </w:tblCellMar>
      </w:tblPr>
      <w:tblGrid>
        <w:gridCol w:w="5104"/>
        <w:gridCol w:w="3968"/>
      </w:tblGrid>
      <w:tr>
        <w:tblPrEx>
          <w:tblCellMar>
            <w:top w:w="0" w:type="dxa"/>
            <w:left w:w="108" w:type="dxa"/>
            <w:bottom w:w="0" w:type="dxa"/>
            <w:right w:w="108" w:type="dxa"/>
          </w:tblCellMar>
        </w:tblPrEx>
        <w:trPr>
          <w:trHeight w:val="622" w:hRule="atLeast"/>
          <w:jc w:val="center"/>
        </w:trPr>
        <w:tc>
          <w:tcPr>
            <w:tcW w:w="5104" w:type="dxa"/>
            <w:tcBorders>
              <w:top w:val="single" w:color="auto" w:sz="12" w:space="0"/>
              <w:left w:val="single" w:color="auto" w:sz="12" w:space="0"/>
              <w:bottom w:val="single" w:color="auto" w:sz="4" w:space="0"/>
              <w:right w:val="single" w:color="auto" w:sz="4" w:space="0"/>
            </w:tcBorders>
            <w:noWrap w:val="0"/>
            <w:vAlign w:val="center"/>
          </w:tcPr>
          <w:p>
            <w:pPr>
              <w:snapToGrid w:val="0"/>
              <w:jc w:val="center"/>
              <w:rPr>
                <w:sz w:val="22"/>
                <w:szCs w:val="22"/>
                <w:highlight w:val="none"/>
              </w:rPr>
            </w:pPr>
            <w:r>
              <w:rPr>
                <w:rFonts w:hint="eastAsia"/>
                <w:sz w:val="22"/>
                <w:szCs w:val="22"/>
                <w:highlight w:val="none"/>
              </w:rPr>
              <w:t>项  目</w:t>
            </w:r>
          </w:p>
        </w:tc>
        <w:tc>
          <w:tcPr>
            <w:tcW w:w="3968" w:type="dxa"/>
            <w:tcBorders>
              <w:top w:val="single" w:color="auto" w:sz="12" w:space="0"/>
              <w:left w:val="single" w:color="auto" w:sz="4" w:space="0"/>
              <w:bottom w:val="single" w:color="auto" w:sz="4" w:space="0"/>
              <w:right w:val="single" w:color="auto" w:sz="12" w:space="0"/>
            </w:tcBorders>
            <w:noWrap w:val="0"/>
            <w:vAlign w:val="center"/>
          </w:tcPr>
          <w:p>
            <w:pPr>
              <w:spacing w:line="400" w:lineRule="exact"/>
              <w:jc w:val="center"/>
              <w:rPr>
                <w:sz w:val="22"/>
                <w:szCs w:val="22"/>
                <w:highlight w:val="none"/>
              </w:rPr>
            </w:pPr>
            <w:r>
              <w:rPr>
                <w:rFonts w:hint="eastAsia"/>
                <w:sz w:val="22"/>
                <w:szCs w:val="22"/>
                <w:highlight w:val="none"/>
              </w:rPr>
              <w:t>投标人情况说明</w:t>
            </w:r>
          </w:p>
        </w:tc>
      </w:tr>
      <w:tr>
        <w:tblPrEx>
          <w:tblCellMar>
            <w:top w:w="0" w:type="dxa"/>
            <w:left w:w="108" w:type="dxa"/>
            <w:bottom w:w="0" w:type="dxa"/>
            <w:right w:w="108" w:type="dxa"/>
          </w:tblCellMar>
        </w:tblPrEx>
        <w:trPr>
          <w:trHeight w:val="680" w:hRule="atLeast"/>
          <w:jc w:val="center"/>
        </w:trPr>
        <w:tc>
          <w:tcPr>
            <w:tcW w:w="5104" w:type="dxa"/>
            <w:tcBorders>
              <w:top w:val="single" w:color="auto" w:sz="4" w:space="0"/>
              <w:left w:val="single" w:color="auto" w:sz="12" w:space="0"/>
              <w:bottom w:val="single" w:color="auto" w:sz="4" w:space="0"/>
              <w:right w:val="single" w:color="auto" w:sz="4" w:space="0"/>
            </w:tcBorders>
            <w:noWrap w:val="0"/>
            <w:vAlign w:val="center"/>
          </w:tcPr>
          <w:p>
            <w:pPr>
              <w:spacing w:line="400" w:lineRule="exact"/>
              <w:jc w:val="left"/>
              <w:rPr>
                <w:rFonts w:eastAsia="黑体"/>
                <w:sz w:val="22"/>
                <w:szCs w:val="22"/>
                <w:highlight w:val="none"/>
              </w:rPr>
            </w:pPr>
            <w:r>
              <w:rPr>
                <w:rFonts w:hint="eastAsia"/>
                <w:sz w:val="22"/>
                <w:szCs w:val="22"/>
                <w:highlight w:val="none"/>
              </w:rPr>
              <w:t>（1</w:t>
            </w:r>
            <w:r>
              <w:rPr>
                <w:rFonts w:hint="eastAsia" w:hAnsi="宋体"/>
                <w:sz w:val="22"/>
                <w:szCs w:val="22"/>
                <w:highlight w:val="none"/>
              </w:rPr>
              <w:t>）</w:t>
            </w:r>
            <w:r>
              <w:rPr>
                <w:rFonts w:hint="eastAsia"/>
                <w:sz w:val="22"/>
                <w:highlight w:val="none"/>
              </w:rPr>
              <w:t>投标人或其法定代表人在近三年内有行贿犯罪行为</w:t>
            </w:r>
            <w:r>
              <w:rPr>
                <w:rFonts w:hint="eastAsia" w:hAnsi="宋体"/>
                <w:sz w:val="22"/>
                <w:szCs w:val="21"/>
                <w:highlight w:val="none"/>
              </w:rPr>
              <w:t>。</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eastAsia="黑体"/>
                <w:sz w:val="22"/>
                <w:szCs w:val="22"/>
                <w:highlight w:val="none"/>
              </w:rPr>
            </w:pPr>
            <w:r>
              <w:rPr>
                <w:rFonts w:hint="eastAsia" w:ascii="宋体" w:hAnsi="宋体" w:cs="宋体"/>
                <w:sz w:val="22"/>
                <w:szCs w:val="22"/>
                <w:highlight w:val="none"/>
              </w:rPr>
              <w:t>□</w:t>
            </w:r>
            <w:r>
              <w:rPr>
                <w:rFonts w:hint="eastAsia" w:hAnsi="宋体"/>
                <w:sz w:val="22"/>
                <w:szCs w:val="22"/>
                <w:highlight w:val="none"/>
              </w:rPr>
              <w:t xml:space="preserve">有    </w:t>
            </w:r>
            <w:r>
              <w:rPr>
                <w:rFonts w:hint="eastAsia" w:ascii="宋体" w:hAnsi="宋体" w:cs="宋体"/>
                <w:sz w:val="22"/>
                <w:szCs w:val="22"/>
                <w:highlight w:val="none"/>
              </w:rPr>
              <w:t>□</w:t>
            </w:r>
            <w:r>
              <w:rPr>
                <w:rFonts w:hint="eastAsia" w:hAnsi="宋体"/>
                <w:sz w:val="22"/>
                <w:szCs w:val="22"/>
                <w:highlight w:val="none"/>
              </w:rPr>
              <w:t>无</w:t>
            </w:r>
          </w:p>
        </w:tc>
      </w:tr>
      <w:tr>
        <w:tblPrEx>
          <w:tblCellMar>
            <w:top w:w="0" w:type="dxa"/>
            <w:left w:w="108" w:type="dxa"/>
            <w:bottom w:w="0" w:type="dxa"/>
            <w:right w:w="108" w:type="dxa"/>
          </w:tblCellMar>
        </w:tblPrEx>
        <w:trPr>
          <w:trHeight w:val="680" w:hRule="atLeast"/>
          <w:jc w:val="center"/>
        </w:trPr>
        <w:tc>
          <w:tcPr>
            <w:tcW w:w="5104" w:type="dxa"/>
            <w:tcBorders>
              <w:top w:val="single" w:color="auto" w:sz="4" w:space="0"/>
              <w:left w:val="single" w:color="auto" w:sz="12" w:space="0"/>
              <w:bottom w:val="single" w:color="auto" w:sz="4" w:space="0"/>
              <w:right w:val="single" w:color="auto" w:sz="4" w:space="0"/>
            </w:tcBorders>
            <w:noWrap w:val="0"/>
            <w:vAlign w:val="center"/>
          </w:tcPr>
          <w:p>
            <w:pPr>
              <w:wordWrap w:val="0"/>
              <w:spacing w:line="400" w:lineRule="exact"/>
              <w:rPr>
                <w:rFonts w:eastAsia="黑体"/>
                <w:sz w:val="22"/>
                <w:szCs w:val="22"/>
                <w:highlight w:val="none"/>
              </w:rPr>
            </w:pPr>
            <w:r>
              <w:rPr>
                <w:rFonts w:hint="eastAsia" w:hAnsi="宋体"/>
                <w:sz w:val="22"/>
                <w:szCs w:val="22"/>
                <w:highlight w:val="none"/>
              </w:rPr>
              <w:t>（</w:t>
            </w:r>
            <w:r>
              <w:rPr>
                <w:rFonts w:hint="eastAsia"/>
                <w:sz w:val="22"/>
                <w:szCs w:val="22"/>
                <w:highlight w:val="none"/>
              </w:rPr>
              <w:t>2</w:t>
            </w:r>
            <w:r>
              <w:rPr>
                <w:rFonts w:hint="eastAsia" w:hAnsi="宋体"/>
                <w:sz w:val="22"/>
                <w:szCs w:val="22"/>
                <w:highlight w:val="none"/>
              </w:rPr>
              <w:t>）</w:t>
            </w:r>
            <w:r>
              <w:rPr>
                <w:sz w:val="22"/>
                <w:szCs w:val="22"/>
                <w:highlight w:val="none"/>
              </w:rPr>
              <w:fldChar w:fldCharType="begin"/>
            </w:r>
            <w:r>
              <w:rPr>
                <w:sz w:val="22"/>
                <w:szCs w:val="22"/>
                <w:highlight w:val="none"/>
              </w:rPr>
              <w:instrText xml:space="preserve"> HYPERLINK "http://www.creditchina.gov.cn/" </w:instrText>
            </w:r>
            <w:r>
              <w:rPr>
                <w:sz w:val="22"/>
                <w:szCs w:val="22"/>
                <w:highlight w:val="none"/>
              </w:rPr>
              <w:fldChar w:fldCharType="separate"/>
            </w:r>
            <w:r>
              <w:rPr>
                <w:rStyle w:val="25"/>
                <w:color w:val="auto"/>
                <w:sz w:val="22"/>
                <w:szCs w:val="22"/>
                <w:highlight w:val="none"/>
              </w:rPr>
              <w:t>在</w:t>
            </w:r>
            <w:r>
              <w:rPr>
                <w:rStyle w:val="25"/>
                <w:rFonts w:hint="eastAsia"/>
                <w:color w:val="auto"/>
                <w:sz w:val="22"/>
                <w:szCs w:val="22"/>
                <w:highlight w:val="none"/>
              </w:rPr>
              <w:t>“</w:t>
            </w:r>
            <w:r>
              <w:rPr>
                <w:rStyle w:val="25"/>
                <w:color w:val="auto"/>
                <w:sz w:val="22"/>
                <w:szCs w:val="22"/>
                <w:highlight w:val="none"/>
              </w:rPr>
              <w:t>信用中国</w:t>
            </w:r>
            <w:r>
              <w:rPr>
                <w:rStyle w:val="25"/>
                <w:rFonts w:hint="eastAsia"/>
                <w:color w:val="auto"/>
                <w:sz w:val="22"/>
                <w:szCs w:val="22"/>
                <w:highlight w:val="none"/>
              </w:rPr>
              <w:t>”</w:t>
            </w:r>
            <w:r>
              <w:rPr>
                <w:rStyle w:val="25"/>
                <w:color w:val="auto"/>
                <w:sz w:val="22"/>
                <w:szCs w:val="22"/>
                <w:highlight w:val="none"/>
              </w:rPr>
              <w:t>网站（http://w</w:t>
            </w:r>
            <w:r>
              <w:rPr>
                <w:sz w:val="22"/>
                <w:szCs w:val="22"/>
                <w:highlight w:val="none"/>
              </w:rPr>
              <w:fldChar w:fldCharType="end"/>
            </w:r>
            <w:r>
              <w:rPr>
                <w:sz w:val="22"/>
                <w:szCs w:val="22"/>
                <w:highlight w:val="none"/>
              </w:rPr>
              <w:t>w</w:t>
            </w:r>
            <w:r>
              <w:rPr>
                <w:sz w:val="22"/>
                <w:szCs w:val="22"/>
                <w:highlight w:val="none"/>
              </w:rPr>
              <w:fldChar w:fldCharType="begin"/>
            </w:r>
            <w:r>
              <w:rPr>
                <w:sz w:val="22"/>
                <w:szCs w:val="22"/>
                <w:highlight w:val="none"/>
              </w:rPr>
              <w:instrText xml:space="preserve"> HYPERLINK "http://www.creditchina.gov.cn/" </w:instrText>
            </w:r>
            <w:r>
              <w:rPr>
                <w:sz w:val="22"/>
                <w:szCs w:val="22"/>
                <w:highlight w:val="none"/>
              </w:rPr>
              <w:fldChar w:fldCharType="separate"/>
            </w:r>
            <w:r>
              <w:rPr>
                <w:rStyle w:val="25"/>
                <w:color w:val="auto"/>
                <w:sz w:val="22"/>
                <w:szCs w:val="22"/>
                <w:highlight w:val="none"/>
              </w:rPr>
              <w:t>w.creditchina.gov.c</w:t>
            </w:r>
            <w:r>
              <w:rPr>
                <w:sz w:val="22"/>
                <w:szCs w:val="22"/>
                <w:highlight w:val="none"/>
              </w:rPr>
              <w:fldChar w:fldCharType="end"/>
            </w:r>
            <w:r>
              <w:rPr>
                <w:sz w:val="22"/>
                <w:szCs w:val="22"/>
                <w:highlight w:val="none"/>
              </w:rPr>
              <w:t>n</w:t>
            </w:r>
            <w:r>
              <w:rPr>
                <w:rFonts w:hAnsi="宋体"/>
                <w:sz w:val="22"/>
                <w:szCs w:val="22"/>
                <w:highlight w:val="none"/>
              </w:rPr>
              <w:t>）中</w:t>
            </w:r>
            <w:r>
              <w:rPr>
                <w:rFonts w:hint="eastAsia"/>
                <w:sz w:val="22"/>
                <w:szCs w:val="22"/>
                <w:highlight w:val="none"/>
              </w:rPr>
              <w:t>被列入失信被执行人名单。</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eastAsia="黑体"/>
                <w:sz w:val="22"/>
                <w:szCs w:val="22"/>
                <w:highlight w:val="none"/>
              </w:rPr>
            </w:pPr>
            <w:r>
              <w:rPr>
                <w:rFonts w:hint="eastAsia" w:ascii="宋体" w:hAnsi="宋体" w:cs="宋体"/>
                <w:sz w:val="22"/>
                <w:szCs w:val="22"/>
                <w:highlight w:val="none"/>
              </w:rPr>
              <w:t>□</w:t>
            </w:r>
            <w:r>
              <w:rPr>
                <w:rFonts w:hint="eastAsia" w:hAnsi="宋体"/>
                <w:sz w:val="22"/>
                <w:szCs w:val="22"/>
                <w:highlight w:val="none"/>
              </w:rPr>
              <w:t xml:space="preserve">有    </w:t>
            </w:r>
            <w:r>
              <w:rPr>
                <w:rFonts w:hint="eastAsia" w:ascii="宋体" w:hAnsi="宋体" w:cs="宋体"/>
                <w:sz w:val="22"/>
                <w:szCs w:val="22"/>
                <w:highlight w:val="none"/>
              </w:rPr>
              <w:t>□</w:t>
            </w:r>
            <w:r>
              <w:rPr>
                <w:rFonts w:hint="eastAsia" w:hAnsi="宋体"/>
                <w:sz w:val="22"/>
                <w:szCs w:val="22"/>
                <w:highlight w:val="none"/>
              </w:rPr>
              <w:t>无</w:t>
            </w:r>
          </w:p>
        </w:tc>
      </w:tr>
      <w:tr>
        <w:tblPrEx>
          <w:tblCellMar>
            <w:top w:w="0" w:type="dxa"/>
            <w:left w:w="108" w:type="dxa"/>
            <w:bottom w:w="0" w:type="dxa"/>
            <w:right w:w="108" w:type="dxa"/>
          </w:tblCellMar>
        </w:tblPrEx>
        <w:trPr>
          <w:trHeight w:val="828" w:hRule="atLeast"/>
          <w:jc w:val="center"/>
        </w:trPr>
        <w:tc>
          <w:tcPr>
            <w:tcW w:w="5104" w:type="dxa"/>
            <w:tcBorders>
              <w:top w:val="single" w:color="auto" w:sz="4" w:space="0"/>
              <w:left w:val="single" w:color="auto" w:sz="12" w:space="0"/>
              <w:bottom w:val="single" w:color="auto" w:sz="4" w:space="0"/>
              <w:right w:val="single" w:color="auto" w:sz="4" w:space="0"/>
            </w:tcBorders>
            <w:noWrap w:val="0"/>
            <w:vAlign w:val="center"/>
          </w:tcPr>
          <w:p>
            <w:pPr>
              <w:jc w:val="left"/>
              <w:rPr>
                <w:rFonts w:eastAsia="黑体"/>
                <w:sz w:val="22"/>
                <w:szCs w:val="22"/>
                <w:highlight w:val="none"/>
              </w:rPr>
            </w:pPr>
            <w:r>
              <w:rPr>
                <w:rFonts w:hint="eastAsia"/>
                <w:sz w:val="22"/>
                <w:szCs w:val="22"/>
                <w:highlight w:val="none"/>
              </w:rPr>
              <w:t>（3</w:t>
            </w:r>
            <w:r>
              <w:rPr>
                <w:rFonts w:hint="eastAsia" w:hAnsi="宋体"/>
                <w:sz w:val="22"/>
                <w:szCs w:val="22"/>
                <w:highlight w:val="none"/>
              </w:rPr>
              <w:t>）</w:t>
            </w:r>
            <w:r>
              <w:rPr>
                <w:rFonts w:hint="eastAsia"/>
                <w:sz w:val="22"/>
                <w:szCs w:val="22"/>
                <w:highlight w:val="none"/>
              </w:rPr>
              <w:t>最近三年内发生重大产品质量问题。</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eastAsia="黑体"/>
                <w:sz w:val="22"/>
                <w:szCs w:val="22"/>
                <w:highlight w:val="none"/>
              </w:rPr>
            </w:pPr>
            <w:r>
              <w:rPr>
                <w:rFonts w:hint="eastAsia" w:ascii="宋体" w:hAnsi="宋体" w:cs="宋体"/>
                <w:sz w:val="22"/>
                <w:szCs w:val="22"/>
                <w:highlight w:val="none"/>
              </w:rPr>
              <w:t>□</w:t>
            </w:r>
            <w:r>
              <w:rPr>
                <w:rFonts w:hint="eastAsia" w:hAnsi="宋体"/>
                <w:sz w:val="22"/>
                <w:szCs w:val="22"/>
                <w:highlight w:val="none"/>
              </w:rPr>
              <w:t xml:space="preserve">有    </w:t>
            </w:r>
            <w:r>
              <w:rPr>
                <w:rFonts w:hint="eastAsia" w:ascii="宋体" w:hAnsi="宋体" w:cs="宋体"/>
                <w:sz w:val="22"/>
                <w:szCs w:val="22"/>
                <w:highlight w:val="none"/>
              </w:rPr>
              <w:t>□</w:t>
            </w:r>
            <w:r>
              <w:rPr>
                <w:rFonts w:hint="eastAsia" w:hAnsi="宋体"/>
                <w:sz w:val="22"/>
                <w:szCs w:val="22"/>
                <w:highlight w:val="none"/>
              </w:rPr>
              <w:t>无</w:t>
            </w:r>
          </w:p>
        </w:tc>
      </w:tr>
      <w:tr>
        <w:tblPrEx>
          <w:tblCellMar>
            <w:top w:w="0" w:type="dxa"/>
            <w:left w:w="108" w:type="dxa"/>
            <w:bottom w:w="0" w:type="dxa"/>
            <w:right w:w="108" w:type="dxa"/>
          </w:tblCellMar>
        </w:tblPrEx>
        <w:trPr>
          <w:trHeight w:val="875" w:hRule="atLeast"/>
          <w:jc w:val="center"/>
        </w:trPr>
        <w:tc>
          <w:tcPr>
            <w:tcW w:w="5104" w:type="dxa"/>
            <w:tcBorders>
              <w:top w:val="single" w:color="auto" w:sz="4" w:space="0"/>
              <w:left w:val="single" w:color="auto" w:sz="12" w:space="0"/>
              <w:bottom w:val="single" w:color="auto" w:sz="4" w:space="0"/>
              <w:right w:val="single" w:color="auto" w:sz="4" w:space="0"/>
            </w:tcBorders>
            <w:noWrap w:val="0"/>
            <w:vAlign w:val="center"/>
          </w:tcPr>
          <w:p>
            <w:pPr>
              <w:jc w:val="left"/>
              <w:rPr>
                <w:rFonts w:eastAsia="黑体"/>
                <w:sz w:val="22"/>
                <w:szCs w:val="22"/>
                <w:highlight w:val="none"/>
              </w:rPr>
            </w:pPr>
            <w:r>
              <w:rPr>
                <w:rFonts w:hint="eastAsia"/>
                <w:sz w:val="22"/>
                <w:szCs w:val="22"/>
                <w:highlight w:val="none"/>
              </w:rPr>
              <w:t>（4</w:t>
            </w:r>
            <w:r>
              <w:rPr>
                <w:rFonts w:hint="eastAsia" w:hAnsi="宋体"/>
                <w:sz w:val="22"/>
                <w:szCs w:val="22"/>
                <w:highlight w:val="none"/>
              </w:rPr>
              <w:t>）被责令停业</w:t>
            </w:r>
            <w:r>
              <w:rPr>
                <w:rFonts w:hint="eastAsia"/>
                <w:sz w:val="22"/>
                <w:szCs w:val="22"/>
                <w:highlight w:val="none"/>
              </w:rPr>
              <w:t>，暂扣或吊销执照，或吊销资质证书。</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eastAsia="黑体"/>
                <w:sz w:val="22"/>
                <w:szCs w:val="22"/>
                <w:highlight w:val="none"/>
              </w:rPr>
            </w:pPr>
            <w:r>
              <w:rPr>
                <w:rFonts w:hint="eastAsia" w:ascii="宋体" w:hAnsi="宋体" w:cs="宋体"/>
                <w:sz w:val="22"/>
                <w:szCs w:val="22"/>
                <w:highlight w:val="none"/>
              </w:rPr>
              <w:t>□</w:t>
            </w:r>
            <w:r>
              <w:rPr>
                <w:rFonts w:hint="eastAsia" w:hAnsi="宋体"/>
                <w:sz w:val="22"/>
                <w:szCs w:val="22"/>
                <w:highlight w:val="none"/>
              </w:rPr>
              <w:t xml:space="preserve">有    </w:t>
            </w:r>
            <w:r>
              <w:rPr>
                <w:rFonts w:hint="eastAsia" w:ascii="宋体" w:hAnsi="宋体" w:cs="宋体"/>
                <w:sz w:val="22"/>
                <w:szCs w:val="22"/>
                <w:highlight w:val="none"/>
              </w:rPr>
              <w:t>□</w:t>
            </w:r>
            <w:r>
              <w:rPr>
                <w:rFonts w:hint="eastAsia" w:hAnsi="宋体"/>
                <w:sz w:val="22"/>
                <w:szCs w:val="22"/>
                <w:highlight w:val="none"/>
              </w:rPr>
              <w:t>无</w:t>
            </w:r>
          </w:p>
        </w:tc>
      </w:tr>
      <w:tr>
        <w:tblPrEx>
          <w:tblCellMar>
            <w:top w:w="0" w:type="dxa"/>
            <w:left w:w="108" w:type="dxa"/>
            <w:bottom w:w="0" w:type="dxa"/>
            <w:right w:w="108" w:type="dxa"/>
          </w:tblCellMar>
        </w:tblPrEx>
        <w:trPr>
          <w:trHeight w:val="882" w:hRule="atLeast"/>
          <w:jc w:val="center"/>
        </w:trPr>
        <w:tc>
          <w:tcPr>
            <w:tcW w:w="5104" w:type="dxa"/>
            <w:tcBorders>
              <w:top w:val="single" w:color="auto" w:sz="4" w:space="0"/>
              <w:left w:val="single" w:color="auto" w:sz="12" w:space="0"/>
              <w:bottom w:val="single" w:color="auto" w:sz="4" w:space="0"/>
              <w:right w:val="single" w:color="auto" w:sz="4" w:space="0"/>
            </w:tcBorders>
            <w:noWrap w:val="0"/>
            <w:vAlign w:val="center"/>
          </w:tcPr>
          <w:p>
            <w:pPr>
              <w:jc w:val="left"/>
              <w:rPr>
                <w:rFonts w:eastAsia="黑体"/>
                <w:sz w:val="22"/>
                <w:szCs w:val="22"/>
                <w:highlight w:val="none"/>
              </w:rPr>
            </w:pPr>
            <w:r>
              <w:rPr>
                <w:rFonts w:hint="eastAsia"/>
                <w:sz w:val="22"/>
                <w:szCs w:val="22"/>
                <w:highlight w:val="none"/>
              </w:rPr>
              <w:t>（5</w:t>
            </w:r>
            <w:r>
              <w:rPr>
                <w:rFonts w:hint="eastAsia" w:hAnsi="宋体"/>
                <w:sz w:val="22"/>
                <w:szCs w:val="22"/>
                <w:highlight w:val="none"/>
              </w:rPr>
              <w:t>）</w:t>
            </w:r>
            <w:r>
              <w:rPr>
                <w:rFonts w:hint="eastAsia"/>
                <w:sz w:val="22"/>
                <w:szCs w:val="22"/>
                <w:highlight w:val="none"/>
              </w:rPr>
              <w:t>进入清算程序，或被宣告破产，或其他丧失履约能力的情形</w:t>
            </w:r>
            <w:r>
              <w:rPr>
                <w:rFonts w:hint="eastAsia" w:hAnsi="宋体"/>
                <w:sz w:val="22"/>
                <w:szCs w:val="22"/>
                <w:highlight w:val="none"/>
              </w:rPr>
              <w:t>。</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eastAsia="黑体"/>
                <w:sz w:val="22"/>
                <w:szCs w:val="22"/>
                <w:highlight w:val="none"/>
              </w:rPr>
            </w:pPr>
            <w:r>
              <w:rPr>
                <w:rFonts w:hint="eastAsia" w:ascii="宋体" w:hAnsi="宋体" w:cs="宋体"/>
                <w:sz w:val="22"/>
                <w:szCs w:val="22"/>
                <w:highlight w:val="none"/>
              </w:rPr>
              <w:t>□</w:t>
            </w:r>
            <w:r>
              <w:rPr>
                <w:rFonts w:hint="eastAsia" w:hAnsi="宋体"/>
                <w:sz w:val="22"/>
                <w:szCs w:val="22"/>
                <w:highlight w:val="none"/>
              </w:rPr>
              <w:t xml:space="preserve">有    </w:t>
            </w:r>
            <w:r>
              <w:rPr>
                <w:rFonts w:hint="eastAsia" w:ascii="宋体" w:hAnsi="宋体" w:cs="宋体"/>
                <w:sz w:val="22"/>
                <w:szCs w:val="22"/>
                <w:highlight w:val="none"/>
              </w:rPr>
              <w:t>□</w:t>
            </w:r>
            <w:r>
              <w:rPr>
                <w:rFonts w:hint="eastAsia" w:hAnsi="宋体"/>
                <w:sz w:val="22"/>
                <w:szCs w:val="22"/>
                <w:highlight w:val="none"/>
              </w:rPr>
              <w:t>无</w:t>
            </w:r>
          </w:p>
        </w:tc>
      </w:tr>
      <w:tr>
        <w:tblPrEx>
          <w:tblCellMar>
            <w:top w:w="0" w:type="dxa"/>
            <w:left w:w="108" w:type="dxa"/>
            <w:bottom w:w="0" w:type="dxa"/>
            <w:right w:w="108" w:type="dxa"/>
          </w:tblCellMar>
        </w:tblPrEx>
        <w:trPr>
          <w:trHeight w:val="587" w:hRule="atLeast"/>
          <w:jc w:val="center"/>
        </w:trPr>
        <w:tc>
          <w:tcPr>
            <w:tcW w:w="5104" w:type="dxa"/>
            <w:tcBorders>
              <w:top w:val="single" w:color="auto" w:sz="4" w:space="0"/>
              <w:left w:val="single" w:color="auto" w:sz="12" w:space="0"/>
              <w:bottom w:val="single" w:color="auto" w:sz="4" w:space="0"/>
              <w:right w:val="single" w:color="auto" w:sz="4" w:space="0"/>
            </w:tcBorders>
            <w:noWrap w:val="0"/>
            <w:vAlign w:val="center"/>
          </w:tcPr>
          <w:p>
            <w:pPr>
              <w:jc w:val="left"/>
              <w:rPr>
                <w:rFonts w:hint="eastAsia"/>
                <w:sz w:val="22"/>
                <w:szCs w:val="22"/>
                <w:highlight w:val="none"/>
              </w:rPr>
            </w:pPr>
            <w:r>
              <w:rPr>
                <w:rFonts w:hint="eastAsia"/>
                <w:sz w:val="22"/>
                <w:szCs w:val="22"/>
                <w:highlight w:val="none"/>
              </w:rPr>
              <w:t>（6）</w:t>
            </w:r>
            <w:r>
              <w:rPr>
                <w:sz w:val="22"/>
                <w:szCs w:val="21"/>
                <w:highlight w:val="none"/>
              </w:rPr>
              <w:t>投标人正受到在本招标项目所在地市级行政区域内取消投标资格的行政处罚。</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hint="eastAsia" w:ascii="宋体" w:hAnsi="宋体" w:cs="宋体"/>
                <w:sz w:val="22"/>
                <w:szCs w:val="22"/>
                <w:highlight w:val="none"/>
              </w:rPr>
            </w:pPr>
            <w:r>
              <w:rPr>
                <w:rFonts w:hint="eastAsia" w:ascii="宋体" w:hAnsi="宋体" w:cs="宋体"/>
                <w:sz w:val="22"/>
                <w:szCs w:val="22"/>
                <w:highlight w:val="none"/>
              </w:rPr>
              <w:t>□</w:t>
            </w:r>
            <w:r>
              <w:rPr>
                <w:rFonts w:hint="eastAsia" w:hAnsi="宋体"/>
                <w:sz w:val="22"/>
                <w:szCs w:val="22"/>
                <w:highlight w:val="none"/>
              </w:rPr>
              <w:t xml:space="preserve">有    </w:t>
            </w:r>
            <w:r>
              <w:rPr>
                <w:rFonts w:hint="eastAsia" w:ascii="宋体" w:hAnsi="宋体" w:cs="宋体"/>
                <w:sz w:val="22"/>
                <w:szCs w:val="22"/>
                <w:highlight w:val="none"/>
              </w:rPr>
              <w:t>□</w:t>
            </w:r>
            <w:r>
              <w:rPr>
                <w:rFonts w:hint="eastAsia" w:hAnsi="宋体"/>
                <w:sz w:val="22"/>
                <w:szCs w:val="22"/>
                <w:highlight w:val="none"/>
              </w:rPr>
              <w:t>无</w:t>
            </w:r>
          </w:p>
        </w:tc>
      </w:tr>
      <w:tr>
        <w:tblPrEx>
          <w:tblCellMar>
            <w:top w:w="0" w:type="dxa"/>
            <w:left w:w="108" w:type="dxa"/>
            <w:bottom w:w="0" w:type="dxa"/>
            <w:right w:w="108" w:type="dxa"/>
          </w:tblCellMar>
        </w:tblPrEx>
        <w:trPr>
          <w:trHeight w:val="708" w:hRule="atLeast"/>
          <w:jc w:val="center"/>
        </w:trPr>
        <w:tc>
          <w:tcPr>
            <w:tcW w:w="5104" w:type="dxa"/>
            <w:tcBorders>
              <w:top w:val="single" w:color="auto" w:sz="4" w:space="0"/>
              <w:left w:val="single" w:color="auto" w:sz="12" w:space="0"/>
              <w:bottom w:val="single" w:color="auto" w:sz="4" w:space="0"/>
              <w:right w:val="single" w:color="auto" w:sz="4" w:space="0"/>
            </w:tcBorders>
            <w:noWrap w:val="0"/>
            <w:vAlign w:val="center"/>
          </w:tcPr>
          <w:p>
            <w:pPr>
              <w:wordWrap w:val="0"/>
              <w:jc w:val="left"/>
              <w:rPr>
                <w:rFonts w:hAnsi="宋体"/>
                <w:sz w:val="22"/>
                <w:szCs w:val="22"/>
                <w:highlight w:val="none"/>
              </w:rPr>
            </w:pPr>
            <w:r>
              <w:rPr>
                <w:rFonts w:hint="eastAsia" w:hAnsi="宋体"/>
                <w:sz w:val="22"/>
                <w:szCs w:val="22"/>
                <w:highlight w:val="none"/>
              </w:rPr>
              <w:t>（7）在</w:t>
            </w:r>
            <w:r>
              <w:rPr>
                <w:rFonts w:hint="eastAsia"/>
                <w:sz w:val="22"/>
                <w:szCs w:val="22"/>
                <w:highlight w:val="none"/>
              </w:rPr>
              <w:t>国家企业信用信息公示系统（http://www.gsxt.gov.cn）中被列入严重违法失信企业名单。</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eastAsia="黑体"/>
                <w:sz w:val="22"/>
                <w:szCs w:val="22"/>
                <w:highlight w:val="none"/>
              </w:rPr>
            </w:pPr>
            <w:r>
              <w:rPr>
                <w:rFonts w:hint="eastAsia" w:ascii="宋体" w:hAnsi="宋体" w:cs="宋体"/>
                <w:sz w:val="22"/>
                <w:szCs w:val="22"/>
                <w:highlight w:val="none"/>
              </w:rPr>
              <w:t>□</w:t>
            </w:r>
            <w:r>
              <w:rPr>
                <w:rFonts w:hint="eastAsia" w:hAnsi="宋体"/>
                <w:sz w:val="22"/>
                <w:szCs w:val="22"/>
                <w:highlight w:val="none"/>
              </w:rPr>
              <w:t xml:space="preserve">有    </w:t>
            </w:r>
            <w:r>
              <w:rPr>
                <w:rFonts w:hint="eastAsia" w:ascii="宋体" w:hAnsi="宋体" w:cs="宋体"/>
                <w:sz w:val="22"/>
                <w:szCs w:val="22"/>
                <w:highlight w:val="none"/>
              </w:rPr>
              <w:t>□</w:t>
            </w:r>
            <w:r>
              <w:rPr>
                <w:rFonts w:hint="eastAsia" w:hAnsi="宋体"/>
                <w:sz w:val="22"/>
                <w:szCs w:val="22"/>
                <w:highlight w:val="none"/>
              </w:rPr>
              <w:t>无</w:t>
            </w:r>
          </w:p>
        </w:tc>
      </w:tr>
      <w:tr>
        <w:tblPrEx>
          <w:tblCellMar>
            <w:top w:w="0" w:type="dxa"/>
            <w:left w:w="108" w:type="dxa"/>
            <w:bottom w:w="0" w:type="dxa"/>
            <w:right w:w="108" w:type="dxa"/>
          </w:tblCellMar>
        </w:tblPrEx>
        <w:trPr>
          <w:trHeight w:val="708" w:hRule="atLeast"/>
          <w:jc w:val="center"/>
        </w:trPr>
        <w:tc>
          <w:tcPr>
            <w:tcW w:w="5104" w:type="dxa"/>
            <w:tcBorders>
              <w:top w:val="single" w:color="auto" w:sz="4" w:space="0"/>
              <w:left w:val="single" w:color="auto" w:sz="12" w:space="0"/>
              <w:bottom w:val="single" w:color="auto" w:sz="4" w:space="0"/>
              <w:right w:val="single" w:color="auto" w:sz="4" w:space="0"/>
            </w:tcBorders>
            <w:noWrap w:val="0"/>
            <w:vAlign w:val="center"/>
          </w:tcPr>
          <w:p>
            <w:pPr>
              <w:jc w:val="left"/>
              <w:rPr>
                <w:rFonts w:hint="eastAsia" w:hAnsi="宋体"/>
                <w:sz w:val="22"/>
                <w:szCs w:val="22"/>
                <w:highlight w:val="none"/>
              </w:rPr>
            </w:pPr>
            <w:r>
              <w:rPr>
                <w:rFonts w:hint="eastAsia" w:hAnsi="宋体"/>
                <w:sz w:val="22"/>
                <w:szCs w:val="22"/>
                <w:highlight w:val="none"/>
              </w:rPr>
              <w:t>（8）法律法规规定的其他情形。</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hint="eastAsia" w:ascii="宋体" w:hAnsi="宋体" w:cs="宋体"/>
                <w:sz w:val="22"/>
                <w:szCs w:val="22"/>
                <w:highlight w:val="none"/>
              </w:rPr>
            </w:pPr>
          </w:p>
        </w:tc>
      </w:tr>
    </w:tbl>
    <w:p>
      <w:pPr>
        <w:autoSpaceDE w:val="0"/>
        <w:snapToGrid w:val="0"/>
        <w:ind w:right="109" w:rightChars="52"/>
        <w:rPr>
          <w:rFonts w:hint="eastAsia" w:ascii="宋体" w:hAnsi="宋体"/>
          <w:szCs w:val="21"/>
          <w:highlight w:val="none"/>
        </w:rPr>
      </w:pPr>
      <w:r>
        <w:rPr>
          <w:rFonts w:ascii="宋体" w:hAnsi="宋体"/>
          <w:szCs w:val="21"/>
          <w:highlight w:val="none"/>
        </w:rPr>
        <w:t>注：1.本表后应附：</w:t>
      </w:r>
    </w:p>
    <w:p>
      <w:pPr>
        <w:autoSpaceDE w:val="0"/>
        <w:snapToGrid w:val="0"/>
        <w:ind w:right="109" w:rightChars="52" w:firstLine="420" w:firstLineChars="200"/>
        <w:rPr>
          <w:rFonts w:ascii="宋体" w:hAnsi="宋体"/>
          <w:szCs w:val="21"/>
          <w:highlight w:val="none"/>
        </w:rPr>
      </w:pPr>
      <w:r>
        <w:rPr>
          <w:rFonts w:ascii="宋体" w:hAnsi="宋体"/>
          <w:szCs w:val="21"/>
          <w:highlight w:val="none"/>
        </w:rPr>
        <w:t>（1）投标人在全国企业信用信息公示系统中未被列入严重违法失信企业名单的网页截图；</w:t>
      </w:r>
    </w:p>
    <w:p>
      <w:pPr>
        <w:autoSpaceDE w:val="0"/>
        <w:snapToGrid w:val="0"/>
        <w:ind w:right="109" w:rightChars="52" w:firstLine="420" w:firstLineChars="200"/>
        <w:rPr>
          <w:rFonts w:ascii="宋体" w:hAnsi="宋体"/>
          <w:szCs w:val="21"/>
          <w:highlight w:val="none"/>
        </w:rPr>
      </w:pPr>
      <w:r>
        <w:rPr>
          <w:rFonts w:ascii="宋体" w:hAnsi="宋体"/>
          <w:szCs w:val="21"/>
          <w:highlight w:val="none"/>
        </w:rPr>
        <w:t>（2）投标人在</w:t>
      </w:r>
      <w:r>
        <w:rPr>
          <w:rFonts w:ascii="宋体" w:hAnsi="宋体"/>
          <w:szCs w:val="21"/>
          <w:highlight w:val="none"/>
        </w:rPr>
        <w:fldChar w:fldCharType="begin"/>
      </w:r>
      <w:r>
        <w:rPr>
          <w:rFonts w:ascii="宋体" w:hAnsi="宋体"/>
          <w:szCs w:val="21"/>
          <w:highlight w:val="none"/>
        </w:rPr>
        <w:instrText xml:space="preserve"> HYPERLINK "http://www.creditchina.gov.cn/" </w:instrText>
      </w:r>
      <w:r>
        <w:rPr>
          <w:rFonts w:ascii="宋体" w:hAnsi="宋体"/>
          <w:szCs w:val="21"/>
          <w:highlight w:val="none"/>
        </w:rPr>
        <w:fldChar w:fldCharType="separate"/>
      </w:r>
      <w:r>
        <w:rPr>
          <w:rStyle w:val="25"/>
          <w:rFonts w:hint="eastAsia" w:ascii="宋体" w:hAnsi="宋体"/>
          <w:color w:val="auto"/>
          <w:szCs w:val="21"/>
          <w:highlight w:val="none"/>
          <w:u w:val="none"/>
        </w:rPr>
        <w:t>“</w:t>
      </w:r>
      <w:r>
        <w:rPr>
          <w:rStyle w:val="25"/>
          <w:rFonts w:ascii="宋体" w:hAnsi="宋体"/>
          <w:color w:val="auto"/>
          <w:szCs w:val="21"/>
          <w:highlight w:val="none"/>
          <w:u w:val="none"/>
        </w:rPr>
        <w:t>信用中国</w:t>
      </w:r>
      <w:r>
        <w:rPr>
          <w:rStyle w:val="25"/>
          <w:rFonts w:hint="eastAsia" w:ascii="宋体" w:hAnsi="宋体"/>
          <w:color w:val="auto"/>
          <w:szCs w:val="21"/>
          <w:highlight w:val="none"/>
          <w:u w:val="none"/>
        </w:rPr>
        <w:t>”</w:t>
      </w:r>
      <w:r>
        <w:rPr>
          <w:rStyle w:val="25"/>
          <w:rFonts w:ascii="宋体" w:hAnsi="宋体"/>
          <w:color w:val="auto"/>
          <w:szCs w:val="21"/>
          <w:highlight w:val="none"/>
          <w:u w:val="none"/>
        </w:rPr>
        <w:t>网站中未被列入失信被执行人名单的网页截图</w:t>
      </w:r>
      <w:r>
        <w:rPr>
          <w:rFonts w:ascii="宋体" w:hAnsi="宋体"/>
          <w:szCs w:val="21"/>
          <w:highlight w:val="none"/>
        </w:rPr>
        <w:fldChar w:fldCharType="end"/>
      </w:r>
      <w:r>
        <w:rPr>
          <w:rFonts w:ascii="宋体" w:hAnsi="宋体"/>
          <w:szCs w:val="21"/>
          <w:highlight w:val="none"/>
        </w:rPr>
        <w:t>；</w:t>
      </w:r>
    </w:p>
    <w:p>
      <w:pPr>
        <w:autoSpaceDE w:val="0"/>
        <w:snapToGrid w:val="0"/>
        <w:ind w:left="15" w:leftChars="7" w:right="109" w:rightChars="52" w:firstLine="403" w:firstLineChars="192"/>
        <w:jc w:val="left"/>
        <w:rPr>
          <w:rFonts w:hint="eastAsia" w:ascii="宋体" w:hAnsi="宋体" w:cs="宋体"/>
          <w:sz w:val="22"/>
          <w:szCs w:val="18"/>
          <w:highlight w:val="none"/>
        </w:rPr>
      </w:pPr>
      <w:r>
        <w:rPr>
          <w:rFonts w:ascii="宋体" w:hAnsi="宋体"/>
          <w:szCs w:val="21"/>
          <w:highlight w:val="none"/>
        </w:rPr>
        <w:t>2.投标人应如实填报，若经查实投标人存在瞒报行为，将取消其投标或中标资格。</w:t>
      </w:r>
    </w:p>
    <w:p>
      <w:pPr>
        <w:topLinePunct/>
        <w:spacing w:line="440" w:lineRule="exact"/>
        <w:rPr>
          <w:rFonts w:ascii="Times New Roman" w:hAnsi="Times New Roman" w:cs="Times New Roman"/>
          <w:bCs/>
          <w:sz w:val="23"/>
          <w:szCs w:val="23"/>
        </w:rPr>
      </w:pPr>
    </w:p>
    <w:p>
      <w:pPr>
        <w:spacing w:line="440" w:lineRule="exact"/>
        <w:jc w:val="left"/>
        <w:rPr>
          <w:rFonts w:hint="eastAsia" w:ascii="黑体" w:hAnsi="黑体" w:eastAsia="黑体" w:cs="黑体"/>
          <w:sz w:val="28"/>
          <w:szCs w:val="28"/>
          <w:highlight w:val="yellow"/>
        </w:rPr>
      </w:pPr>
    </w:p>
    <w:p>
      <w:pPr>
        <w:pStyle w:val="10"/>
        <w:jc w:val="right"/>
        <w:rPr>
          <w:rFonts w:ascii="Times New Roman" w:hAnsi="Times New Roman" w:cs="Times New Roman"/>
          <w:sz w:val="24"/>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Times New Roman" w:hAnsi="Times New Roman" w:cs="Times New Roman"/>
          <w:sz w:val="24"/>
        </w:rPr>
      </w:pPr>
      <w:r>
        <w:rPr>
          <w:rFonts w:ascii="Times New Roman" w:hAnsi="Times New Roman" w:cs="Times New Roman"/>
          <w:sz w:val="24"/>
        </w:rPr>
        <w:t xml:space="preserve"> 供应商：</w:t>
      </w:r>
      <w:r>
        <w:rPr>
          <w:rFonts w:ascii="Times New Roman" w:hAnsi="Times New Roman" w:cs="Times New Roman"/>
          <w:sz w:val="24"/>
          <w:u w:val="single"/>
        </w:rPr>
        <w:t xml:space="preserve">                 </w:t>
      </w:r>
      <w:r>
        <w:rPr>
          <w:rFonts w:ascii="Times New Roman" w:hAnsi="Times New Roman" w:cs="Times New Roman"/>
          <w:sz w:val="24"/>
        </w:rPr>
        <w:t>(盖单位章)</w:t>
      </w:r>
    </w:p>
    <w:p>
      <w:pPr>
        <w:pStyle w:val="10"/>
        <w:keepNext w:val="0"/>
        <w:keepLines w:val="0"/>
        <w:pageBreakBefore w:val="0"/>
        <w:widowControl w:val="0"/>
        <w:kinsoku/>
        <w:wordWrap/>
        <w:overflowPunct/>
        <w:topLinePunct w:val="0"/>
        <w:autoSpaceDE/>
        <w:autoSpaceDN/>
        <w:bidi w:val="0"/>
        <w:adjustRightInd/>
        <w:snapToGrid/>
        <w:spacing w:line="560" w:lineRule="exact"/>
        <w:jc w:val="right"/>
        <w:textAlignment w:val="auto"/>
        <w:rPr>
          <w:u w:val="single"/>
        </w:r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pStyle w:val="10"/>
      </w:pPr>
    </w:p>
    <w:p>
      <w:pPr>
        <w:spacing w:line="400" w:lineRule="atLeast"/>
        <w:jc w:val="center"/>
        <w:rPr>
          <w:rFonts w:ascii="Times New Roman" w:hAnsi="Times New Roman" w:eastAsia="黑体" w:cs="Times New Roman"/>
          <w:sz w:val="27"/>
          <w:szCs w:val="27"/>
        </w:rPr>
      </w:pPr>
    </w:p>
    <w:p>
      <w:pPr>
        <w:rPr>
          <w:rFonts w:ascii="Times New Roman" w:hAnsi="Times New Roman" w:eastAsia="黑体" w:cs="Times New Roman"/>
          <w:sz w:val="27"/>
          <w:szCs w:val="27"/>
        </w:rPr>
      </w:pPr>
      <w:r>
        <w:rPr>
          <w:rFonts w:ascii="Times New Roman" w:hAnsi="Times New Roman" w:eastAsia="黑体" w:cs="Times New Roman"/>
          <w:sz w:val="27"/>
          <w:szCs w:val="27"/>
        </w:rPr>
        <w:br w:type="page"/>
      </w:r>
    </w:p>
    <w:p>
      <w:pPr>
        <w:pStyle w:val="2"/>
      </w:pPr>
    </w:p>
    <w:p>
      <w:pPr>
        <w:pStyle w:val="6"/>
        <w:numPr>
          <w:ilvl w:val="0"/>
          <w:numId w:val="0"/>
        </w:numPr>
        <w:jc w:val="center"/>
        <w:rPr>
          <w:rFonts w:hint="default" w:ascii="黑体" w:hAnsi="黑体" w:eastAsia="黑体" w:cs="黑体"/>
          <w:b w:val="0"/>
          <w:bCs/>
          <w:sz w:val="28"/>
          <w:szCs w:val="24"/>
          <w:highlight w:val="none"/>
          <w:lang w:val="en-US" w:eastAsia="zh-CN"/>
        </w:rPr>
      </w:pPr>
      <w:bookmarkStart w:id="166" w:name="_Toc22303_WPSOffice_Level1"/>
      <w:bookmarkStart w:id="167" w:name="_Toc5957_WPSOffice_Level1"/>
      <w:bookmarkStart w:id="168" w:name="_Toc19034_WPSOffice_Level1"/>
      <w:bookmarkStart w:id="169" w:name="_Toc2428_WPSOffice_Level1"/>
      <w:bookmarkStart w:id="170" w:name="_Toc31963_WPSOffice_Level1"/>
      <w:bookmarkStart w:id="171" w:name="_Toc13165_WPSOffice_Level1"/>
      <w:r>
        <w:rPr>
          <w:rFonts w:hint="eastAsia" w:ascii="黑体" w:hAnsi="黑体" w:eastAsia="黑体" w:cs="黑体"/>
          <w:b w:val="0"/>
          <w:bCs/>
          <w:sz w:val="28"/>
          <w:szCs w:val="24"/>
          <w:highlight w:val="none"/>
          <w:lang w:val="en-US" w:eastAsia="zh-CN"/>
        </w:rPr>
        <w:t>六、施工组织设计</w:t>
      </w:r>
    </w:p>
    <w:p>
      <w:pPr>
        <w:numPr>
          <w:ilvl w:val="0"/>
          <w:numId w:val="0"/>
        </w:numPr>
        <w:bidi w:val="0"/>
        <w:jc w:val="both"/>
        <w:rPr>
          <w:rFonts w:hint="eastAsia" w:ascii="Times New Roman"/>
          <w:color w:val="auto"/>
          <w:sz w:val="24"/>
          <w:szCs w:val="24"/>
          <w:lang w:eastAsia="zh-CN"/>
        </w:rPr>
      </w:pPr>
      <w:r>
        <w:rPr>
          <w:rFonts w:hint="eastAsia" w:ascii="Times New Roman"/>
          <w:color w:val="auto"/>
          <w:sz w:val="24"/>
          <w:szCs w:val="24"/>
          <w:lang w:val="en-US" w:eastAsia="zh-CN"/>
        </w:rPr>
        <w:t>供应商应按项目特点编制施工组织设计方案</w:t>
      </w:r>
      <w:r>
        <w:rPr>
          <w:rFonts w:hint="eastAsia" w:ascii="Times New Roman"/>
          <w:color w:val="auto"/>
          <w:sz w:val="24"/>
          <w:szCs w:val="24"/>
          <w:lang w:eastAsia="zh-CN"/>
        </w:rPr>
        <w:t>，</w:t>
      </w:r>
      <w:r>
        <w:rPr>
          <w:rFonts w:hint="eastAsia" w:ascii="Times New Roman"/>
          <w:color w:val="auto"/>
          <w:sz w:val="24"/>
          <w:szCs w:val="24"/>
          <w:lang w:val="en-US" w:eastAsia="zh-CN"/>
        </w:rPr>
        <w:t>文字宜精炼，内容具有可行性、针对性</w:t>
      </w:r>
      <w:r>
        <w:rPr>
          <w:rFonts w:hint="eastAsia" w:ascii="Times New Roman"/>
          <w:color w:val="auto"/>
          <w:sz w:val="24"/>
          <w:szCs w:val="24"/>
          <w:lang w:eastAsia="zh-CN"/>
        </w:rPr>
        <w:t>。</w:t>
      </w:r>
    </w:p>
    <w:p>
      <w:pPr>
        <w:pStyle w:val="2"/>
        <w:rPr>
          <w:rFonts w:hint="eastAsia" w:ascii="Times New Roman" w:hAnsi="Times New Roman" w:eastAsia="黑体" w:cs="Times New Roman"/>
          <w:sz w:val="28"/>
          <w:szCs w:val="28"/>
        </w:rPr>
      </w:pPr>
    </w:p>
    <w:p>
      <w:pPr>
        <w:rPr>
          <w:rFonts w:hint="eastAsia" w:ascii="Times New Roman" w:hAnsi="Times New Roman" w:eastAsia="黑体" w:cs="Times New Roman"/>
          <w:sz w:val="28"/>
          <w:szCs w:val="28"/>
        </w:rPr>
      </w:pPr>
    </w:p>
    <w:p>
      <w:pPr>
        <w:pStyle w:val="2"/>
        <w:rPr>
          <w:rFonts w:hint="eastAsia"/>
        </w:rPr>
      </w:pPr>
    </w:p>
    <w:p>
      <w:pPr>
        <w:rPr>
          <w:rFonts w:hint="eastAsia"/>
        </w:rPr>
      </w:pPr>
    </w:p>
    <w:p>
      <w:pPr>
        <w:pStyle w:val="2"/>
        <w:rPr>
          <w:rFonts w:hint="eastAsia"/>
        </w:rPr>
      </w:pPr>
    </w:p>
    <w:p>
      <w:pPr>
        <w:rPr>
          <w:rFonts w:hint="eastAsia"/>
        </w:rPr>
      </w:pPr>
    </w:p>
    <w:p>
      <w:pPr>
        <w:pStyle w:val="10"/>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rPr>
          <w:rFonts w:hint="eastAsia"/>
        </w:rPr>
      </w:pPr>
      <w:r>
        <w:rPr>
          <w:rFonts w:hint="eastAsia"/>
        </w:rPr>
        <w:br w:type="page"/>
      </w:r>
    </w:p>
    <w:p>
      <w:pPr>
        <w:pStyle w:val="11"/>
        <w:rPr>
          <w:rFonts w:hint="eastAsia"/>
        </w:rPr>
      </w:pPr>
    </w:p>
    <w:p>
      <w:pPr>
        <w:pStyle w:val="6"/>
        <w:numPr>
          <w:ilvl w:val="0"/>
          <w:numId w:val="0"/>
        </w:numPr>
        <w:jc w:val="center"/>
        <w:rPr>
          <w:rFonts w:hint="eastAsia" w:ascii="黑体" w:hAnsi="黑体" w:eastAsia="黑体" w:cs="黑体"/>
          <w:b w:val="0"/>
          <w:bCs/>
          <w:sz w:val="28"/>
          <w:szCs w:val="24"/>
          <w:highlight w:val="none"/>
          <w:lang w:val="en-US" w:eastAsia="zh-CN"/>
        </w:rPr>
      </w:pPr>
      <w:bookmarkStart w:id="172" w:name="_Toc26624"/>
      <w:bookmarkStart w:id="173" w:name="_Toc21078_WPSOffice_Level1"/>
      <w:bookmarkStart w:id="174" w:name="_Toc7540_WPSOffice_Level1"/>
      <w:bookmarkStart w:id="175" w:name="_Toc12998"/>
      <w:bookmarkStart w:id="176" w:name="_Toc15767_WPSOffice_Level1"/>
      <w:bookmarkStart w:id="177" w:name="_Toc3653"/>
      <w:r>
        <w:rPr>
          <w:rFonts w:hint="eastAsia" w:ascii="黑体" w:hAnsi="黑体" w:eastAsia="黑体" w:cs="黑体"/>
          <w:b w:val="0"/>
          <w:bCs/>
          <w:sz w:val="28"/>
          <w:szCs w:val="24"/>
          <w:highlight w:val="none"/>
          <w:lang w:val="en-US" w:eastAsia="zh-CN"/>
        </w:rPr>
        <w:t>七、</w:t>
      </w:r>
      <w:bookmarkEnd w:id="172"/>
      <w:bookmarkEnd w:id="173"/>
      <w:bookmarkEnd w:id="174"/>
      <w:bookmarkEnd w:id="175"/>
      <w:bookmarkEnd w:id="176"/>
      <w:bookmarkEnd w:id="177"/>
      <w:r>
        <w:rPr>
          <w:rFonts w:hint="eastAsia" w:ascii="黑体" w:hAnsi="黑体" w:eastAsia="黑体" w:cs="黑体"/>
          <w:b w:val="0"/>
          <w:bCs/>
          <w:sz w:val="28"/>
          <w:szCs w:val="24"/>
          <w:highlight w:val="none"/>
          <w:lang w:val="en-US" w:eastAsia="zh-CN"/>
        </w:rPr>
        <w:t>其</w:t>
      </w:r>
      <w:bookmarkEnd w:id="166"/>
      <w:r>
        <w:rPr>
          <w:rFonts w:hint="eastAsia" w:ascii="黑体" w:hAnsi="黑体" w:eastAsia="黑体" w:cs="黑体"/>
          <w:b w:val="0"/>
          <w:bCs/>
          <w:sz w:val="28"/>
          <w:szCs w:val="24"/>
          <w:highlight w:val="none"/>
          <w:lang w:val="en-US" w:eastAsia="zh-CN"/>
        </w:rPr>
        <w:t>他材料</w:t>
      </w:r>
      <w:bookmarkEnd w:id="167"/>
      <w:bookmarkEnd w:id="168"/>
      <w:bookmarkEnd w:id="169"/>
      <w:bookmarkEnd w:id="170"/>
      <w:bookmarkEnd w:id="171"/>
    </w:p>
    <w:p>
      <w:pPr>
        <w:pStyle w:val="11"/>
        <w:rPr>
          <w:rFonts w:hint="default" w:ascii="Times New Roman" w:hAnsi="Times New Roman"/>
          <w:color w:val="auto"/>
          <w:szCs w:val="28"/>
        </w:rPr>
      </w:pPr>
    </w:p>
    <w:p>
      <w:pPr>
        <w:pStyle w:val="11"/>
        <w:keepNext w:val="0"/>
        <w:keepLines w:val="0"/>
        <w:pageBreakBefore w:val="0"/>
        <w:widowControl w:val="0"/>
        <w:numPr>
          <w:ilvl w:val="0"/>
          <w:numId w:val="0"/>
        </w:numPr>
        <w:kinsoku/>
        <w:wordWrap/>
        <w:overflowPunct/>
        <w:topLinePunct w:val="0"/>
        <w:autoSpaceDE w:val="0"/>
        <w:autoSpaceDN w:val="0"/>
        <w:bidi w:val="0"/>
        <w:adjustRightInd/>
        <w:snapToGrid/>
        <w:ind w:firstLine="480" w:firstLineChars="200"/>
        <w:textAlignment w:val="auto"/>
        <w:rPr>
          <w:rFonts w:hint="eastAsia" w:ascii="宋体" w:hAnsi="宋体" w:eastAsia="宋体" w:cs="宋体"/>
          <w:color w:val="auto"/>
          <w:szCs w:val="28"/>
        </w:rPr>
      </w:pPr>
      <w:r>
        <w:rPr>
          <w:rFonts w:hint="eastAsia" w:ascii="宋体" w:hAnsi="宋体" w:eastAsia="宋体" w:cs="宋体"/>
          <w:color w:val="auto"/>
          <w:szCs w:val="28"/>
          <w:lang w:val="en-US" w:eastAsia="zh-CN"/>
        </w:rPr>
        <w:t>1.</w:t>
      </w:r>
      <w:r>
        <w:rPr>
          <w:rFonts w:hint="eastAsia" w:ascii="宋体" w:hAnsi="宋体" w:eastAsia="宋体" w:cs="宋体"/>
          <w:color w:val="auto"/>
          <w:szCs w:val="28"/>
        </w:rPr>
        <w:t>响应保证金的银行凭证（电汇回单）复印件等。</w:t>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pStyle w:val="2"/>
        <w:rPr>
          <w:rFonts w:ascii="Times New Roman" w:hAnsi="Times New Roman" w:eastAsia="黑体" w:cs="Times New Roman"/>
          <w:sz w:val="28"/>
          <w:szCs w:val="28"/>
        </w:rPr>
      </w:pPr>
    </w:p>
    <w:p>
      <w:pPr>
        <w:rPr>
          <w:rFonts w:ascii="Times New Roman" w:hAnsi="Times New Roman" w:eastAsia="黑体" w:cs="Times New Roman"/>
          <w:sz w:val="28"/>
          <w:szCs w:val="28"/>
        </w:rPr>
      </w:pPr>
    </w:p>
    <w:p>
      <w:pPr>
        <w:rPr>
          <w:rFonts w:ascii="Times New Roman" w:hAnsi="Times New Roman" w:eastAsia="黑体" w:cs="Times New Roman"/>
          <w:sz w:val="28"/>
          <w:szCs w:val="28"/>
        </w:rPr>
      </w:pPr>
      <w:r>
        <w:rPr>
          <w:rFonts w:ascii="Times New Roman" w:hAnsi="Times New Roman" w:eastAsia="黑体" w:cs="Times New Roman"/>
          <w:sz w:val="28"/>
          <w:szCs w:val="28"/>
        </w:rPr>
        <w:br w:type="page"/>
      </w:r>
    </w:p>
    <w:p>
      <w:pPr>
        <w:pStyle w:val="2"/>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36"/>
          <w:szCs w:val="36"/>
        </w:rPr>
      </w:pPr>
      <w:r>
        <w:rPr>
          <w:rFonts w:hint="eastAsia" w:ascii="宋体" w:hAnsi="宋体" w:eastAsia="宋体" w:cs="宋体"/>
          <w:b/>
          <w:bCs/>
          <w:kern w:val="0"/>
          <w:sz w:val="36"/>
          <w:szCs w:val="36"/>
          <w:u w:val="single"/>
          <w:lang w:val="en-US" w:eastAsia="zh-CN"/>
        </w:rPr>
        <w:t xml:space="preserve">                                  </w:t>
      </w:r>
      <w:r>
        <w:rPr>
          <w:rFonts w:hint="eastAsia" w:ascii="宋体" w:hAnsi="宋体" w:eastAsia="宋体" w:cs="宋体"/>
          <w:b/>
          <w:bCs/>
          <w:kern w:val="0"/>
          <w:sz w:val="36"/>
          <w:szCs w:val="36"/>
          <w:u w:val="none"/>
          <w:lang w:val="en-US" w:eastAsia="zh-CN"/>
        </w:rPr>
        <w:t>项目</w:t>
      </w:r>
      <w:r>
        <w:rPr>
          <w:rFonts w:ascii="Times New Roman" w:hAnsi="Times New Roman" w:eastAsia="黑体" w:cs="Times New Roman"/>
          <w:sz w:val="36"/>
          <w:szCs w:val="36"/>
        </w:rPr>
        <w:t>询比</w:t>
      </w:r>
    </w:p>
    <w:p>
      <w:pPr>
        <w:spacing w:line="440" w:lineRule="exact"/>
        <w:rPr>
          <w:rFonts w:ascii="Times New Roman" w:hAnsi="Times New Roman" w:eastAsia="黑体" w:cs="Times New Roman"/>
          <w:sz w:val="20"/>
          <w:szCs w:val="20"/>
        </w:rPr>
      </w:pPr>
      <w:r>
        <w:rPr>
          <w:rFonts w:ascii="Times New Roman" w:hAnsi="Times New Roman" w:eastAsia="黑体" w:cs="Times New Roman"/>
          <w:sz w:val="20"/>
          <w:szCs w:val="20"/>
        </w:rPr>
        <w:t xml:space="preserve"> </w:t>
      </w: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r>
        <w:rPr>
          <w:rFonts w:ascii="Times New Roman" w:hAnsi="Times New Roman" w:eastAsia="黑体" w:cs="Times New Roman"/>
          <w:sz w:val="50"/>
          <w:szCs w:val="50"/>
        </w:rPr>
        <w:t>响  应  文  件</w:t>
      </w:r>
    </w:p>
    <w:p>
      <w:pPr>
        <w:pStyle w:val="2"/>
        <w:ind w:firstLine="2560" w:firstLineChars="800"/>
        <w:jc w:val="both"/>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（报价文件）</w:t>
      </w: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8"/>
          <w:szCs w:val="28"/>
          <w:lang w:val="en-US" w:eastAsia="zh-CN"/>
        </w:rPr>
        <w:t xml:space="preserve">     </w:t>
      </w:r>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w:t>
      </w:r>
      <w:r>
        <w:rPr>
          <w:rFonts w:hint="eastAsia" w:ascii="Times New Roman" w:hAnsi="Times New Roman" w:eastAsia="黑体" w:cs="Times New Roman"/>
          <w:sz w:val="28"/>
          <w:szCs w:val="28"/>
          <w:u w:val="single"/>
          <w:lang w:val="en-US" w:eastAsia="zh-CN"/>
        </w:rPr>
        <w:t xml:space="preserve">     </w:t>
      </w:r>
      <w:r>
        <w:rPr>
          <w:rFonts w:ascii="Times New Roman" w:hAnsi="Times New Roman" w:eastAsia="黑体" w:cs="Times New Roman"/>
          <w:sz w:val="28"/>
          <w:szCs w:val="28"/>
          <w:u w:val="single"/>
        </w:rPr>
        <w:t xml:space="preserve"> (全称、盖单位章) </w:t>
      </w:r>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8"/>
          <w:szCs w:val="28"/>
          <w:u w:val="none"/>
          <w:lang w:val="en-US" w:eastAsia="zh-CN"/>
        </w:rPr>
        <w:t xml:space="preserve">          </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年</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月</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日</w:t>
      </w:r>
    </w:p>
    <w:p>
      <w:pPr>
        <w:spacing w:line="440" w:lineRule="exact"/>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r>
        <w:rPr>
          <w:rFonts w:ascii="Times New Roman" w:hAnsi="Times New Roman" w:eastAsia="黑体" w:cs="Times New Roman"/>
          <w:sz w:val="28"/>
          <w:szCs w:val="28"/>
        </w:rPr>
        <w:t>目</w:t>
      </w:r>
      <w:r>
        <w:rPr>
          <w:rFonts w:hint="eastAsia" w:ascii="Times New Roman" w:hAnsi="Times New Roman" w:eastAsia="黑体" w:cs="Times New Roman"/>
          <w:sz w:val="28"/>
          <w:szCs w:val="28"/>
          <w:lang w:val="en-US" w:eastAsia="zh-CN"/>
        </w:rPr>
        <w:t xml:space="preserve">   </w:t>
      </w:r>
      <w:r>
        <w:rPr>
          <w:rFonts w:ascii="Times New Roman" w:hAnsi="Times New Roman" w:eastAsia="黑体" w:cs="Times New Roman"/>
          <w:sz w:val="28"/>
          <w:szCs w:val="28"/>
        </w:rPr>
        <w:t>录</w:t>
      </w:r>
    </w:p>
    <w:p>
      <w:pPr>
        <w:spacing w:line="440" w:lineRule="exact"/>
        <w:rPr>
          <w:rFonts w:ascii="Times New Roman" w:hAnsi="Times New Roman" w:eastAsia="黑体" w:cs="Times New Roman"/>
          <w:sz w:val="20"/>
          <w:szCs w:val="20"/>
        </w:rPr>
      </w:pPr>
    </w:p>
    <w:p>
      <w:pPr>
        <w:spacing w:line="440" w:lineRule="exact"/>
        <w:ind w:firstLine="1200" w:firstLineChars="500"/>
        <w:rPr>
          <w:rFonts w:ascii="Times New Roman" w:hAnsi="Times New Roman" w:eastAsia="黑体" w:cs="Times New Roman"/>
          <w:sz w:val="24"/>
          <w:szCs w:val="24"/>
        </w:rPr>
      </w:pPr>
      <w:r>
        <w:rPr>
          <w:rFonts w:ascii="Times New Roman" w:hAnsi="Times New Roman" w:eastAsia="黑体" w:cs="Times New Roman"/>
          <w:sz w:val="24"/>
          <w:szCs w:val="24"/>
        </w:rPr>
        <w:t>一、报价函</w:t>
      </w:r>
    </w:p>
    <w:p>
      <w:pPr>
        <w:spacing w:line="440" w:lineRule="exact"/>
        <w:ind w:firstLine="1200" w:firstLineChars="500"/>
        <w:rPr>
          <w:rFonts w:ascii="Times New Roman" w:hAnsi="Times New Roman" w:eastAsia="黑体" w:cs="Times New Roman"/>
          <w:sz w:val="24"/>
          <w:szCs w:val="24"/>
        </w:rPr>
      </w:pPr>
      <w:r>
        <w:rPr>
          <w:rFonts w:ascii="Times New Roman" w:hAnsi="Times New Roman" w:eastAsia="黑体" w:cs="Times New Roman"/>
          <w:sz w:val="24"/>
          <w:szCs w:val="24"/>
        </w:rPr>
        <w:t>二、已标价</w:t>
      </w:r>
      <w:r>
        <w:rPr>
          <w:rFonts w:hint="eastAsia" w:ascii="Times New Roman" w:hAnsi="Times New Roman" w:eastAsia="黑体" w:cs="Times New Roman"/>
          <w:sz w:val="24"/>
          <w:szCs w:val="24"/>
        </w:rPr>
        <w:t>的工程量</w:t>
      </w:r>
      <w:r>
        <w:rPr>
          <w:rFonts w:ascii="Times New Roman" w:hAnsi="Times New Roman" w:eastAsia="黑体" w:cs="Times New Roman"/>
          <w:sz w:val="24"/>
          <w:szCs w:val="24"/>
        </w:rPr>
        <w:t>清单</w:t>
      </w:r>
    </w:p>
    <w:p>
      <w:pPr>
        <w:spacing w:line="440" w:lineRule="exact"/>
        <w:ind w:left="1619" w:leftChars="771"/>
        <w:rPr>
          <w:rFonts w:ascii="Times New Roman" w:hAnsi="Times New Roman" w:eastAsia="黑体" w:cs="Times New Roman"/>
          <w:sz w:val="24"/>
        </w:rPr>
      </w:pPr>
    </w:p>
    <w:p/>
    <w:p>
      <w:pPr>
        <w:rPr>
          <w:rFonts w:hint="eastAsia" w:ascii="黑体" w:hAnsi="黑体" w:eastAsia="黑体" w:cs="黑体"/>
          <w:b w:val="0"/>
          <w:bCs/>
          <w:sz w:val="28"/>
          <w:szCs w:val="24"/>
          <w:highlight w:val="none"/>
          <w:lang w:val="en-US" w:eastAsia="zh-CN"/>
        </w:rPr>
      </w:pPr>
      <w:r>
        <w:rPr>
          <w:rFonts w:hint="eastAsia" w:ascii="黑体" w:hAnsi="黑体" w:eastAsia="黑体" w:cs="黑体"/>
          <w:b w:val="0"/>
          <w:bCs/>
          <w:sz w:val="28"/>
          <w:szCs w:val="24"/>
          <w:highlight w:val="none"/>
          <w:lang w:val="en-US" w:eastAsia="zh-CN"/>
        </w:rPr>
        <w:br w:type="page"/>
      </w:r>
    </w:p>
    <w:p>
      <w:pPr>
        <w:pStyle w:val="6"/>
        <w:numPr>
          <w:ilvl w:val="0"/>
          <w:numId w:val="0"/>
        </w:numPr>
        <w:jc w:val="center"/>
        <w:rPr>
          <w:rFonts w:hint="eastAsia" w:ascii="黑体" w:hAnsi="黑体" w:eastAsia="黑体" w:cs="黑体"/>
          <w:b w:val="0"/>
          <w:bCs/>
          <w:sz w:val="28"/>
          <w:szCs w:val="24"/>
          <w:highlight w:val="none"/>
          <w:lang w:val="en-US" w:eastAsia="zh-CN"/>
        </w:rPr>
      </w:pPr>
      <w:r>
        <w:rPr>
          <w:rFonts w:hint="eastAsia" w:ascii="黑体" w:hAnsi="黑体" w:eastAsia="黑体" w:cs="黑体"/>
          <w:b w:val="0"/>
          <w:bCs/>
          <w:sz w:val="28"/>
          <w:szCs w:val="24"/>
          <w:highlight w:val="none"/>
          <w:lang w:val="en-US" w:eastAsia="zh-CN"/>
        </w:rPr>
        <w:t>一、报价函</w:t>
      </w:r>
    </w:p>
    <w:p>
      <w:pPr>
        <w:pStyle w:val="2"/>
      </w:pPr>
    </w:p>
    <w:p>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(采购人名称)：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cs="Times New Roman"/>
          <w:sz w:val="24"/>
        </w:rPr>
      </w:pPr>
      <w:r>
        <w:rPr>
          <w:rFonts w:ascii="Times New Roman" w:hAnsi="Times New Roman" w:cs="Times New Roman"/>
          <w:sz w:val="24"/>
        </w:rPr>
        <w:t>1．我方已仔细研究了</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rPr>
        <w:t>(项目名称)询比文件的全部内容(含补遗书第</w:t>
      </w:r>
      <w:r>
        <w:rPr>
          <w:rFonts w:hint="eastAsia" w:ascii="Times New Roman" w:hAnsi="Times New Roman" w:cs="Times New Roman"/>
          <w:sz w:val="24"/>
          <w:u w:val="single"/>
          <w:lang w:val="en-US" w:eastAsia="zh-CN"/>
        </w:rPr>
        <w:t xml:space="preserve">    </w:t>
      </w:r>
      <w:r>
        <w:rPr>
          <w:rFonts w:ascii="Times New Roman" w:hAnsi="Times New Roman" w:cs="Times New Roman"/>
          <w:sz w:val="24"/>
        </w:rPr>
        <w:t>号至第</w:t>
      </w:r>
      <w:r>
        <w:rPr>
          <w:rFonts w:hint="eastAsia" w:ascii="Times New Roman" w:hAnsi="Times New Roman" w:cs="Times New Roman"/>
          <w:sz w:val="24"/>
          <w:u w:val="single"/>
          <w:lang w:val="en-US" w:eastAsia="zh-CN"/>
        </w:rPr>
        <w:t xml:space="preserve">   </w:t>
      </w:r>
      <w:r>
        <w:rPr>
          <w:rFonts w:ascii="Times New Roman" w:hAnsi="Times New Roman" w:cs="Times New Roman"/>
          <w:sz w:val="24"/>
        </w:rPr>
        <w:t>号)，愿意以人民币(大写)</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(小写：¥</w:t>
      </w:r>
      <w:r>
        <w:rPr>
          <w:rFonts w:ascii="Times New Roman" w:hAnsi="Times New Roman" w:cs="Times New Roman"/>
          <w:sz w:val="24"/>
          <w:u w:val="single"/>
        </w:rPr>
        <w:t xml:space="preserve">       </w:t>
      </w:r>
      <w:r>
        <w:rPr>
          <w:rFonts w:ascii="Times New Roman" w:hAnsi="Times New Roman" w:cs="Times New Roman"/>
          <w:sz w:val="24"/>
        </w:rPr>
        <w:t>)的总报价</w:t>
      </w:r>
      <w:r>
        <w:rPr>
          <w:rFonts w:hint="eastAsia" w:ascii="Times New Roman" w:hAnsi="Times New Roman" w:cs="Times New Roman"/>
          <w:sz w:val="24"/>
          <w:lang w:val="en-US" w:eastAsia="zh-CN"/>
        </w:rPr>
        <w:t>提供招标文件要求的货物、技术服务和质保售后服务，并按合同约定履行义务</w:t>
      </w:r>
      <w:r>
        <w:rPr>
          <w:rFonts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cs="Times New Roman"/>
          <w:sz w:val="24"/>
        </w:rPr>
      </w:pPr>
      <w:r>
        <w:rPr>
          <w:rFonts w:ascii="Times New Roman" w:hAnsi="Times New Roman" w:cs="Times New Roman"/>
          <w:sz w:val="24"/>
        </w:rPr>
        <w:t>2．我方承诺在响应有效期内不修改、撤销响应文件。</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cs="Times New Roman"/>
          <w:sz w:val="24"/>
        </w:rPr>
      </w:pPr>
      <w:r>
        <w:rPr>
          <w:rFonts w:hint="eastAsia" w:ascii="Times New Roman" w:hAnsi="Times New Roman" w:cs="Times New Roman"/>
          <w:sz w:val="24"/>
          <w:lang w:val="en-US" w:eastAsia="zh-CN"/>
        </w:rPr>
        <w:t>3</w:t>
      </w:r>
      <w:r>
        <w:rPr>
          <w:rFonts w:ascii="Times New Roman" w:hAnsi="Times New Roman" w:cs="Times New Roman"/>
          <w:sz w:val="24"/>
        </w:rPr>
        <w:t>．我方在此声明，所递交的响应文件及有关资料内容完整、真实和准确。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cs="Times New Roman"/>
          <w:sz w:val="24"/>
        </w:rPr>
      </w:pPr>
      <w:r>
        <w:rPr>
          <w:rFonts w:hint="eastAsia" w:ascii="Times New Roman" w:hAnsi="Times New Roman" w:cs="Times New Roman"/>
          <w:sz w:val="24"/>
          <w:lang w:val="en-US" w:eastAsia="zh-CN"/>
        </w:rPr>
        <w:t>4</w:t>
      </w:r>
      <w:r>
        <w:rPr>
          <w:rFonts w:ascii="Times New Roman" w:hAnsi="Times New Roman" w:cs="Times New Roman"/>
          <w:sz w:val="24"/>
        </w:rPr>
        <w:t>．</w:t>
      </w:r>
      <w:r>
        <w:rPr>
          <w:rFonts w:hint="eastAsia" w:ascii="Times New Roman" w:hAnsi="Times New Roman" w:cs="Times New Roman"/>
          <w:sz w:val="24"/>
        </w:rPr>
        <w:t>我方已按招标文件要求详细审核并确认全部招标文件及有关附件，充分理解投标价格不得低于企业个别成本有关规定。我方经成本核算，所填报的投标报价不低于企业个别成本。</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5</w:t>
      </w:r>
      <w:r>
        <w:rPr>
          <w:rFonts w:hint="eastAsia" w:ascii="Times New Roman" w:hAnsi="Times New Roman" w:cs="Times New Roman"/>
          <w:sz w:val="24"/>
        </w:rPr>
        <w:t>．除非另外达成协议并生效，你方的中标通知书和本投标文件以及招标文件、招标文件澄清、修改、补充文件将成为约束双方的合同文件的组成部分。</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6.其他补充说明：</w:t>
      </w:r>
      <w:r>
        <w:rPr>
          <w:rFonts w:hint="eastAsia" w:ascii="Times New Roman" w:hAnsi="Times New Roman" w:cs="Times New Roman"/>
          <w:sz w:val="24"/>
          <w:u w:val="single"/>
          <w:lang w:val="en-US" w:eastAsia="zh-CN"/>
        </w:rPr>
        <w:t xml:space="preserve">                                       </w:t>
      </w:r>
      <w:r>
        <w:rPr>
          <w:rFonts w:hint="eastAsia" w:ascii="Times New Roman" w:hAnsi="Times New Roman" w:cs="Times New Roman"/>
          <w:sz w:val="24"/>
          <w:u w:val="none"/>
          <w:lang w:val="en-US" w:eastAsia="zh-CN"/>
        </w:rPr>
        <w:t>。</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cs="Times New Roman"/>
          <w:sz w:val="24"/>
        </w:rPr>
      </w:pPr>
      <w:r>
        <w:rPr>
          <w:rFonts w:hint="eastAsia" w:ascii="Times New Roman" w:hAnsi="Times New Roman" w:cs="Times New Roman"/>
          <w:sz w:val="24"/>
          <w:lang w:val="en-US" w:eastAsia="zh-CN"/>
        </w:rPr>
        <w:t xml:space="preserve"> </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hint="eastAsia" w:ascii="宋体" w:hAnsi="宋体" w:eastAsia="宋体" w:cs="宋体"/>
          <w:sz w:val="24"/>
        </w:rPr>
        <w:t>(盖单位章)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法定代表人：</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hint="eastAsia" w:ascii="宋体" w:hAnsi="宋体" w:eastAsia="宋体" w:cs="宋体"/>
          <w:sz w:val="24"/>
          <w:szCs w:val="24"/>
        </w:rPr>
        <w:t>（签字或盖章）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网址：</w:t>
      </w:r>
      <w:r>
        <w:rPr>
          <w:rFonts w:ascii="Times New Roman" w:hAnsi="Times New Roman" w:cs="Times New Roman"/>
          <w:sz w:val="24"/>
          <w:u w:val="single"/>
        </w:rPr>
        <w:t xml:space="preserve">                                     </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00" w:lineRule="exact"/>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r>
        <w:rPr>
          <w:rFonts w:ascii="Times New Roman" w:hAnsi="Times New Roman" w:cs="Times New Roman"/>
          <w:sz w:val="24"/>
          <w:u w:val="single"/>
        </w:rPr>
        <w:t xml:space="preserve">                                  </w:t>
      </w:r>
    </w:p>
    <w:p>
      <w:pPr>
        <w:spacing w:line="400" w:lineRule="exact"/>
        <w:ind w:firstLine="4740" w:firstLineChars="1975"/>
        <w:rPr>
          <w:rFonts w:ascii="Times New Roman" w:hAnsi="Times New Roman" w:cs="Times New Roman"/>
          <w:sz w:val="24"/>
        </w:rPr>
      </w:pP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rPr>
          <w:rFonts w:ascii="Times New Roman" w:hAnsi="Times New Roman" w:cs="Times New Roman"/>
          <w:sz w:val="24"/>
        </w:rPr>
      </w:pPr>
      <w:r>
        <w:rPr>
          <w:rFonts w:ascii="Times New Roman" w:hAnsi="Times New Roman" w:cs="Times New Roman"/>
          <w:sz w:val="24"/>
        </w:rPr>
        <w:br w:type="page"/>
      </w:r>
    </w:p>
    <w:p>
      <w:pPr>
        <w:pStyle w:val="6"/>
        <w:numPr>
          <w:ilvl w:val="0"/>
          <w:numId w:val="0"/>
        </w:numPr>
        <w:jc w:val="center"/>
        <w:rPr>
          <w:rFonts w:hint="eastAsia" w:ascii="黑体" w:hAnsi="黑体" w:eastAsia="黑体" w:cs="黑体"/>
          <w:b w:val="0"/>
          <w:bCs/>
          <w:sz w:val="28"/>
          <w:szCs w:val="24"/>
          <w:highlight w:val="none"/>
          <w:lang w:val="en-US" w:eastAsia="zh-CN"/>
        </w:rPr>
      </w:pPr>
      <w:bookmarkStart w:id="178" w:name="_Toc272486050"/>
      <w:bookmarkStart w:id="179" w:name="_Toc162490440"/>
      <w:bookmarkStart w:id="180" w:name="_Toc153421230"/>
      <w:r>
        <w:rPr>
          <w:rFonts w:hint="eastAsia" w:ascii="黑体" w:hAnsi="黑体" w:eastAsia="黑体" w:cs="黑体"/>
          <w:b w:val="0"/>
          <w:bCs/>
          <w:sz w:val="28"/>
          <w:szCs w:val="24"/>
          <w:highlight w:val="none"/>
          <w:lang w:val="en-US" w:eastAsia="zh-CN"/>
        </w:rPr>
        <w:t>二、</w:t>
      </w:r>
      <w:bookmarkEnd w:id="178"/>
      <w:bookmarkEnd w:id="179"/>
      <w:bookmarkEnd w:id="180"/>
      <w:r>
        <w:rPr>
          <w:rFonts w:hint="eastAsia" w:ascii="黑体" w:hAnsi="黑体" w:eastAsia="黑体" w:cs="黑体"/>
          <w:b w:val="0"/>
          <w:bCs/>
          <w:sz w:val="28"/>
          <w:szCs w:val="24"/>
          <w:highlight w:val="none"/>
          <w:lang w:val="en-US" w:eastAsia="zh-CN"/>
        </w:rPr>
        <w:t>已标价的工程量清单</w:t>
      </w:r>
    </w:p>
    <w:p>
      <w:pPr>
        <w:spacing w:line="440" w:lineRule="exact"/>
        <w:rPr>
          <w:rFonts w:ascii="Times New Roman" w:hAnsi="Times New Roman" w:eastAsia="黑体" w:cs="Times New Roman"/>
          <w:color w:val="auto"/>
          <w:sz w:val="24"/>
          <w:highlight w:val="none"/>
        </w:rPr>
      </w:pPr>
    </w:p>
    <w:p>
      <w:pPr>
        <w:spacing w:line="360" w:lineRule="auto"/>
        <w:jc w:val="center"/>
        <w:rPr>
          <w:rFonts w:hint="eastAsia" w:ascii="宋体" w:hAnsi="宋体" w:cs="宋体"/>
          <w:b/>
          <w:bCs/>
          <w:sz w:val="28"/>
          <w:szCs w:val="28"/>
          <w:highlight w:val="none"/>
        </w:rPr>
      </w:pPr>
      <w:r>
        <w:rPr>
          <w:rFonts w:hint="eastAsia" w:ascii="宋体" w:hAnsi="宋体" w:cs="宋体"/>
          <w:b/>
          <w:bCs/>
          <w:sz w:val="28"/>
          <w:szCs w:val="28"/>
          <w:highlight w:val="none"/>
        </w:rPr>
        <w:t>A．说明</w:t>
      </w:r>
    </w:p>
    <w:p>
      <w:pPr>
        <w:spacing w:line="360" w:lineRule="auto"/>
        <w:ind w:firstLine="437"/>
        <w:rPr>
          <w:rFonts w:hint="default" w:ascii="Times New Roman" w:hAnsi="Times New Roman" w:eastAsia="宋体" w:cs="Times New Roman"/>
          <w:sz w:val="22"/>
          <w:szCs w:val="21"/>
          <w:highlight w:val="none"/>
        </w:rPr>
      </w:pPr>
      <w:r>
        <w:rPr>
          <w:rFonts w:hint="default" w:ascii="Times New Roman" w:hAnsi="Times New Roman" w:eastAsia="宋体" w:cs="Times New Roman"/>
          <w:sz w:val="22"/>
          <w:szCs w:val="21"/>
          <w:highlight w:val="none"/>
        </w:rPr>
        <w:t>1．本报价清单应与投标人须知、专用合同条款、技术规格等文件结合起来查阅与理解。</w:t>
      </w:r>
    </w:p>
    <w:p>
      <w:pPr>
        <w:spacing w:line="360" w:lineRule="auto"/>
        <w:ind w:firstLine="437"/>
        <w:rPr>
          <w:rFonts w:hint="default" w:ascii="Times New Roman" w:hAnsi="Times New Roman" w:eastAsia="宋体" w:cs="Times New Roman"/>
          <w:sz w:val="22"/>
          <w:szCs w:val="21"/>
          <w:highlight w:val="none"/>
        </w:rPr>
      </w:pPr>
      <w:r>
        <w:rPr>
          <w:rFonts w:hint="default" w:ascii="Times New Roman" w:hAnsi="Times New Roman" w:eastAsia="宋体" w:cs="Times New Roman"/>
          <w:sz w:val="22"/>
          <w:szCs w:val="21"/>
          <w:highlight w:val="none"/>
        </w:rPr>
        <w:t>2．除非合同另有规定，清单中综合单价和总价应包括了为实施和完成合同所需的设计费、制造费、材料费、利润、税费（含增值税）、运输费、验收、取证、培训、技术服务、损耗费、检测费、商业保险费、验收费、安装调试费等达到使用条件及质保期维护维修的一切费用，以及合同约定的所有责任、义务和一般风险。</w:t>
      </w:r>
    </w:p>
    <w:p>
      <w:pPr>
        <w:spacing w:line="360" w:lineRule="auto"/>
        <w:ind w:firstLine="437"/>
        <w:rPr>
          <w:rFonts w:hint="default" w:ascii="Times New Roman" w:hAnsi="Times New Roman" w:eastAsia="宋体" w:cs="Times New Roman"/>
          <w:sz w:val="22"/>
          <w:szCs w:val="21"/>
          <w:highlight w:val="none"/>
        </w:rPr>
      </w:pPr>
      <w:r>
        <w:rPr>
          <w:rFonts w:hint="default" w:ascii="Times New Roman" w:hAnsi="Times New Roman" w:eastAsia="宋体" w:cs="Times New Roman"/>
          <w:sz w:val="22"/>
          <w:szCs w:val="21"/>
          <w:highlight w:val="none"/>
        </w:rPr>
        <w:t>3．报价清单中的各项费用货币单位均为人民币(元)。</w:t>
      </w:r>
    </w:p>
    <w:p>
      <w:pPr>
        <w:spacing w:line="360" w:lineRule="auto"/>
        <w:ind w:firstLine="437"/>
        <w:rPr>
          <w:rFonts w:hint="default" w:ascii="Times New Roman" w:hAnsi="Times New Roman" w:eastAsia="宋体" w:cs="Times New Roman"/>
          <w:sz w:val="22"/>
          <w:szCs w:val="21"/>
          <w:highlight w:val="none"/>
        </w:rPr>
      </w:pPr>
      <w:r>
        <w:rPr>
          <w:rFonts w:hint="default" w:ascii="Times New Roman" w:hAnsi="Times New Roman" w:eastAsia="宋体" w:cs="Times New Roman"/>
          <w:sz w:val="22"/>
          <w:szCs w:val="21"/>
          <w:highlight w:val="none"/>
        </w:rPr>
        <w:t>4．交货期以合同签订之日起算。</w:t>
      </w:r>
    </w:p>
    <w:p>
      <w:pPr>
        <w:spacing w:line="360" w:lineRule="auto"/>
        <w:ind w:firstLine="437"/>
        <w:rPr>
          <w:rFonts w:hint="default" w:ascii="Times New Roman" w:hAnsi="Times New Roman" w:eastAsia="宋体" w:cs="Times New Roman"/>
          <w:sz w:val="22"/>
          <w:szCs w:val="21"/>
          <w:highlight w:val="none"/>
          <w:lang w:val="en-US" w:eastAsia="zh-CN"/>
        </w:rPr>
      </w:pPr>
      <w:r>
        <w:rPr>
          <w:rFonts w:hint="default" w:ascii="Times New Roman" w:hAnsi="Times New Roman" w:eastAsia="宋体" w:cs="Times New Roman"/>
          <w:sz w:val="22"/>
          <w:szCs w:val="21"/>
          <w:highlight w:val="none"/>
          <w:lang w:val="en-US" w:eastAsia="zh-CN"/>
        </w:rPr>
        <w:t>5</w:t>
      </w:r>
      <w:r>
        <w:rPr>
          <w:rFonts w:hint="default" w:ascii="Times New Roman" w:hAnsi="Times New Roman" w:eastAsia="宋体" w:cs="Times New Roman"/>
          <w:sz w:val="22"/>
          <w:szCs w:val="21"/>
          <w:highlight w:val="none"/>
        </w:rPr>
        <w:t>．</w:t>
      </w:r>
      <w:r>
        <w:rPr>
          <w:rFonts w:hint="default" w:ascii="Times New Roman" w:hAnsi="Times New Roman" w:eastAsia="宋体" w:cs="Times New Roman"/>
          <w:sz w:val="22"/>
          <w:szCs w:val="21"/>
          <w:highlight w:val="none"/>
          <w:lang w:val="en-US" w:eastAsia="zh-CN"/>
        </w:rPr>
        <w:t>供应商在报价各单位时，不得超过各单位的最高限价。</w:t>
      </w:r>
    </w:p>
    <w:p>
      <w:pPr>
        <w:pStyle w:val="20"/>
        <w:rPr>
          <w:rFonts w:hint="eastAsia"/>
          <w:lang w:val="en-US" w:eastAsia="zh-CN"/>
        </w:rPr>
      </w:pPr>
    </w:p>
    <w:p>
      <w:pPr>
        <w:rPr>
          <w:rFonts w:hint="eastAsia"/>
          <w:lang w:val="en-US" w:eastAsia="zh-CN"/>
        </w:rPr>
      </w:pPr>
      <w:r>
        <w:rPr>
          <w:rFonts w:hint="eastAsia"/>
          <w:lang w:val="en-US" w:eastAsia="zh-CN"/>
        </w:rPr>
        <w:br w:type="page"/>
      </w:r>
    </w:p>
    <w:p>
      <w:pPr>
        <w:spacing w:line="360" w:lineRule="auto"/>
        <w:jc w:val="center"/>
        <w:rPr>
          <w:rFonts w:hint="eastAsia" w:ascii="宋体" w:hAnsi="宋体" w:cs="宋体"/>
          <w:b/>
          <w:bCs/>
          <w:sz w:val="28"/>
          <w:szCs w:val="28"/>
          <w:highlight w:val="none"/>
          <w:lang w:eastAsia="zh-CN"/>
        </w:rPr>
      </w:pPr>
      <w:r>
        <w:rPr>
          <w:rFonts w:hint="eastAsia" w:ascii="宋体" w:hAnsi="宋体" w:cs="宋体"/>
          <w:b/>
          <w:bCs/>
          <w:sz w:val="28"/>
          <w:szCs w:val="28"/>
          <w:highlight w:val="none"/>
        </w:rPr>
        <w:t xml:space="preserve">B. </w:t>
      </w:r>
      <w:r>
        <w:rPr>
          <w:rFonts w:hint="eastAsia" w:ascii="宋体" w:hAnsi="宋体" w:cs="宋体"/>
          <w:b/>
          <w:bCs/>
          <w:sz w:val="28"/>
          <w:szCs w:val="28"/>
          <w:highlight w:val="none"/>
          <w:lang w:eastAsia="zh-CN"/>
        </w:rPr>
        <w:t>已标价工程量清单</w:t>
      </w:r>
    </w:p>
    <w:p>
      <w:pPr>
        <w:spacing w:line="360" w:lineRule="auto"/>
        <w:ind w:firstLine="480" w:firstLineChars="200"/>
        <w:rPr>
          <w:rFonts w:hint="eastAsia"/>
          <w:highlight w:val="none"/>
        </w:rPr>
      </w:pPr>
      <w:r>
        <w:rPr>
          <w:rFonts w:hint="eastAsia" w:ascii="宋体" w:hAnsi="宋体" w:cs="宋体"/>
          <w:bCs/>
          <w:sz w:val="24"/>
          <w:szCs w:val="24"/>
          <w:highlight w:val="none"/>
        </w:rPr>
        <w:t>投标人按照招标人提供的“工程量清单”的要求逐项填报工程量清单，包括但不限于工程量清单说明、投标报价说明及工程量清单各项表格。</w:t>
      </w:r>
    </w:p>
    <w:p>
      <w:pPr>
        <w:pStyle w:val="20"/>
        <w:rPr>
          <w:rFonts w:hint="eastAsia"/>
          <w:lang w:val="en-US" w:eastAsia="zh-CN"/>
        </w:rPr>
      </w:pPr>
    </w:p>
    <w:p>
      <w:pPr>
        <w:pStyle w:val="20"/>
        <w:rPr>
          <w:rFonts w:hint="eastAsia"/>
          <w:lang w:val="en-US" w:eastAsia="zh-CN"/>
        </w:rPr>
      </w:pPr>
    </w:p>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58B3752-6797-44E6-9285-9C5020F6CE1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214AD99-B6E4-481A-B8DF-751B89A3E8AE}"/>
  </w:font>
  <w:font w:name="微软雅黑">
    <w:panose1 w:val="020B0503020204020204"/>
    <w:charset w:val="86"/>
    <w:family w:val="swiss"/>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BC488BF5-8313-4FB2-93A4-F930786B6FF4}"/>
  </w:font>
  <w:font w:name="MS Gothic">
    <w:panose1 w:val="020B0609070205080204"/>
    <w:charset w:val="80"/>
    <w:family w:val="auto"/>
    <w:pitch w:val="default"/>
    <w:sig w:usb0="E00002FF" w:usb1="6AC7FDFB" w:usb2="08000012" w:usb3="00000000" w:csb0="4002009F" w:csb1="DFD70000"/>
    <w:embedRegular r:id="rId4" w:fontKey="{C579D53B-5207-4A96-9146-519D6D0F1079}"/>
  </w:font>
  <w:font w:name="Wingdings 2">
    <w:panose1 w:val="05020102010507070707"/>
    <w:charset w:val="00"/>
    <w:family w:val="auto"/>
    <w:pitch w:val="default"/>
    <w:sig w:usb0="00000000" w:usb1="00000000" w:usb2="00000000" w:usb3="00000000" w:csb0="80000000" w:csb1="00000000"/>
    <w:embedRegular r:id="rId5" w:fontKey="{12A41548-94F1-4AC0-9DAD-AE8FE5D771BA}"/>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5"/>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AF0C7C81"/>
    <w:multiLevelType w:val="singleLevel"/>
    <w:tmpl w:val="AF0C7C81"/>
    <w:lvl w:ilvl="0" w:tentative="0">
      <w:start w:val="1"/>
      <w:numFmt w:val="decimal"/>
      <w:suff w:val="nothing"/>
      <w:lvlText w:val="（%1）"/>
      <w:lvlJc w:val="left"/>
    </w:lvl>
  </w:abstractNum>
  <w:abstractNum w:abstractNumId="2">
    <w:nsid w:val="2E95D47B"/>
    <w:multiLevelType w:val="singleLevel"/>
    <w:tmpl w:val="2E95D47B"/>
    <w:lvl w:ilvl="0" w:tentative="0">
      <w:start w:val="1"/>
      <w:numFmt w:val="decimal"/>
      <w:pStyle w:val="6"/>
      <w:suff w:val="nothing"/>
      <w:lvlText w:val="%1．"/>
      <w:lvlJc w:val="left"/>
      <w:pPr>
        <w:ind w:left="17" w:firstLine="400"/>
      </w:pPr>
      <w:rPr>
        <w:rFonts w:hint="default"/>
      </w:rPr>
    </w:lvl>
  </w:abstractNum>
  <w:abstractNum w:abstractNumId="3">
    <w:nsid w:val="61C7D68E"/>
    <w:multiLevelType w:val="singleLevel"/>
    <w:tmpl w:val="61C7D68E"/>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lMDQ5OWI3NzllMjRlZGYxN2EwODVhMTI0NTgxZjgifQ=="/>
    <w:docVar w:name="KSO_WPS_MARK_KEY" w:val="953b1e57-3025-4446-8ac4-6da262bac5d5"/>
  </w:docVars>
  <w:rsids>
    <w:rsidRoot w:val="6F4D02A4"/>
    <w:rsid w:val="00057779"/>
    <w:rsid w:val="000D4CBA"/>
    <w:rsid w:val="000E5D71"/>
    <w:rsid w:val="0022317B"/>
    <w:rsid w:val="00302DB5"/>
    <w:rsid w:val="00302F3A"/>
    <w:rsid w:val="005607D6"/>
    <w:rsid w:val="00653222"/>
    <w:rsid w:val="00691F7C"/>
    <w:rsid w:val="00724BD4"/>
    <w:rsid w:val="007C6E94"/>
    <w:rsid w:val="008322BB"/>
    <w:rsid w:val="00A364B9"/>
    <w:rsid w:val="00E8570D"/>
    <w:rsid w:val="012375FA"/>
    <w:rsid w:val="01361BBA"/>
    <w:rsid w:val="01395070"/>
    <w:rsid w:val="013B6FF3"/>
    <w:rsid w:val="0147778C"/>
    <w:rsid w:val="014A2DD9"/>
    <w:rsid w:val="01641DCA"/>
    <w:rsid w:val="017A2B60"/>
    <w:rsid w:val="01883901"/>
    <w:rsid w:val="019B7439"/>
    <w:rsid w:val="01B315B0"/>
    <w:rsid w:val="01B446F6"/>
    <w:rsid w:val="01B82438"/>
    <w:rsid w:val="01FD42EF"/>
    <w:rsid w:val="022C0730"/>
    <w:rsid w:val="02573360"/>
    <w:rsid w:val="0264611C"/>
    <w:rsid w:val="02D346A3"/>
    <w:rsid w:val="02EA2911"/>
    <w:rsid w:val="02EE59E6"/>
    <w:rsid w:val="03081215"/>
    <w:rsid w:val="0317318F"/>
    <w:rsid w:val="032A4C70"/>
    <w:rsid w:val="03477597"/>
    <w:rsid w:val="034B0C69"/>
    <w:rsid w:val="037203C5"/>
    <w:rsid w:val="038863C7"/>
    <w:rsid w:val="039E565E"/>
    <w:rsid w:val="03A85B56"/>
    <w:rsid w:val="03A9557F"/>
    <w:rsid w:val="03DF1EFE"/>
    <w:rsid w:val="03F51722"/>
    <w:rsid w:val="03F700FE"/>
    <w:rsid w:val="04194CE4"/>
    <w:rsid w:val="04697A1A"/>
    <w:rsid w:val="046E798D"/>
    <w:rsid w:val="04891E6A"/>
    <w:rsid w:val="048E56D2"/>
    <w:rsid w:val="04BA0275"/>
    <w:rsid w:val="04E034BC"/>
    <w:rsid w:val="052971A9"/>
    <w:rsid w:val="054C00FE"/>
    <w:rsid w:val="05502988"/>
    <w:rsid w:val="05705425"/>
    <w:rsid w:val="057160F0"/>
    <w:rsid w:val="059053A1"/>
    <w:rsid w:val="05A827C4"/>
    <w:rsid w:val="05F94BA8"/>
    <w:rsid w:val="060811EF"/>
    <w:rsid w:val="061E4834"/>
    <w:rsid w:val="062C6F51"/>
    <w:rsid w:val="06341F34"/>
    <w:rsid w:val="063C4113"/>
    <w:rsid w:val="065D710A"/>
    <w:rsid w:val="06677F89"/>
    <w:rsid w:val="06B807E5"/>
    <w:rsid w:val="07063EDC"/>
    <w:rsid w:val="0708351A"/>
    <w:rsid w:val="07A3126D"/>
    <w:rsid w:val="07B76CEE"/>
    <w:rsid w:val="07B92732"/>
    <w:rsid w:val="07F95DA5"/>
    <w:rsid w:val="08591B53"/>
    <w:rsid w:val="08A07782"/>
    <w:rsid w:val="08CB2CE3"/>
    <w:rsid w:val="090363D9"/>
    <w:rsid w:val="09210464"/>
    <w:rsid w:val="093223D0"/>
    <w:rsid w:val="093A7BD7"/>
    <w:rsid w:val="094E5430"/>
    <w:rsid w:val="095A5B83"/>
    <w:rsid w:val="09C01DFB"/>
    <w:rsid w:val="09C81AEC"/>
    <w:rsid w:val="09C83435"/>
    <w:rsid w:val="0A03304C"/>
    <w:rsid w:val="0A2A19F9"/>
    <w:rsid w:val="0A2E3C66"/>
    <w:rsid w:val="0A2E7496"/>
    <w:rsid w:val="0A325CF0"/>
    <w:rsid w:val="0A5151D8"/>
    <w:rsid w:val="0A5D3B7D"/>
    <w:rsid w:val="0A801619"/>
    <w:rsid w:val="0A941F2B"/>
    <w:rsid w:val="0ABF65E6"/>
    <w:rsid w:val="0ACD6B49"/>
    <w:rsid w:val="0AD329BC"/>
    <w:rsid w:val="0AEB62EA"/>
    <w:rsid w:val="0AF43676"/>
    <w:rsid w:val="0B4128AE"/>
    <w:rsid w:val="0B865355"/>
    <w:rsid w:val="0B8E7D91"/>
    <w:rsid w:val="0BAB6B6A"/>
    <w:rsid w:val="0BD9062F"/>
    <w:rsid w:val="0C072E85"/>
    <w:rsid w:val="0C3152C1"/>
    <w:rsid w:val="0C3628D7"/>
    <w:rsid w:val="0C40074F"/>
    <w:rsid w:val="0C782EF0"/>
    <w:rsid w:val="0C891791"/>
    <w:rsid w:val="0D461432"/>
    <w:rsid w:val="0D58687D"/>
    <w:rsid w:val="0D682F64"/>
    <w:rsid w:val="0DAD4E1B"/>
    <w:rsid w:val="0DBD0BDC"/>
    <w:rsid w:val="0DE325EB"/>
    <w:rsid w:val="0E5D1E3B"/>
    <w:rsid w:val="0E6C0832"/>
    <w:rsid w:val="0ED32660"/>
    <w:rsid w:val="0EE505E5"/>
    <w:rsid w:val="0F6F4854"/>
    <w:rsid w:val="0F9F0794"/>
    <w:rsid w:val="0FBE1FCA"/>
    <w:rsid w:val="0FD639BD"/>
    <w:rsid w:val="0FE40E2E"/>
    <w:rsid w:val="0FF47FEB"/>
    <w:rsid w:val="10032FEE"/>
    <w:rsid w:val="103E486A"/>
    <w:rsid w:val="10725EA8"/>
    <w:rsid w:val="1090350E"/>
    <w:rsid w:val="10944070"/>
    <w:rsid w:val="109B53FF"/>
    <w:rsid w:val="10C06C14"/>
    <w:rsid w:val="10C77FA2"/>
    <w:rsid w:val="10DA535D"/>
    <w:rsid w:val="10E6462C"/>
    <w:rsid w:val="110D2AFF"/>
    <w:rsid w:val="1111746F"/>
    <w:rsid w:val="111B7950"/>
    <w:rsid w:val="11276C93"/>
    <w:rsid w:val="11390774"/>
    <w:rsid w:val="11530C9E"/>
    <w:rsid w:val="115A5332"/>
    <w:rsid w:val="11762017"/>
    <w:rsid w:val="11EC57E6"/>
    <w:rsid w:val="12062D4C"/>
    <w:rsid w:val="12483364"/>
    <w:rsid w:val="124D44D7"/>
    <w:rsid w:val="129325F3"/>
    <w:rsid w:val="12AC38F3"/>
    <w:rsid w:val="12AE3DA7"/>
    <w:rsid w:val="12DA1AE3"/>
    <w:rsid w:val="12DB5F87"/>
    <w:rsid w:val="12FA3B2F"/>
    <w:rsid w:val="13166FBF"/>
    <w:rsid w:val="13196AAF"/>
    <w:rsid w:val="13CF0812"/>
    <w:rsid w:val="13EC7D20"/>
    <w:rsid w:val="13EE5846"/>
    <w:rsid w:val="140432BB"/>
    <w:rsid w:val="141F00F5"/>
    <w:rsid w:val="14327E28"/>
    <w:rsid w:val="144813FA"/>
    <w:rsid w:val="144A391D"/>
    <w:rsid w:val="146228E4"/>
    <w:rsid w:val="14733F9D"/>
    <w:rsid w:val="147F0B94"/>
    <w:rsid w:val="14DD669C"/>
    <w:rsid w:val="15033573"/>
    <w:rsid w:val="150C68CB"/>
    <w:rsid w:val="15133F2C"/>
    <w:rsid w:val="151C4634"/>
    <w:rsid w:val="158F4E06"/>
    <w:rsid w:val="16021A7C"/>
    <w:rsid w:val="163D1F3A"/>
    <w:rsid w:val="16BE59A3"/>
    <w:rsid w:val="1708321B"/>
    <w:rsid w:val="170E522D"/>
    <w:rsid w:val="17141991"/>
    <w:rsid w:val="172577D0"/>
    <w:rsid w:val="17485BB5"/>
    <w:rsid w:val="17562080"/>
    <w:rsid w:val="176A1687"/>
    <w:rsid w:val="17881110"/>
    <w:rsid w:val="179C380B"/>
    <w:rsid w:val="17A728DB"/>
    <w:rsid w:val="17A96653"/>
    <w:rsid w:val="18397C4D"/>
    <w:rsid w:val="18567E5D"/>
    <w:rsid w:val="185819CA"/>
    <w:rsid w:val="186131B1"/>
    <w:rsid w:val="18691943"/>
    <w:rsid w:val="18A06508"/>
    <w:rsid w:val="18A1732B"/>
    <w:rsid w:val="18C64FE3"/>
    <w:rsid w:val="18ED4079"/>
    <w:rsid w:val="190D44B0"/>
    <w:rsid w:val="190F0738"/>
    <w:rsid w:val="191A46EE"/>
    <w:rsid w:val="192B12EA"/>
    <w:rsid w:val="193052BC"/>
    <w:rsid w:val="193342F1"/>
    <w:rsid w:val="193A01D5"/>
    <w:rsid w:val="19507C28"/>
    <w:rsid w:val="19713BDF"/>
    <w:rsid w:val="197778F9"/>
    <w:rsid w:val="19882298"/>
    <w:rsid w:val="19CA465F"/>
    <w:rsid w:val="19DE1C05"/>
    <w:rsid w:val="19E971DB"/>
    <w:rsid w:val="19FA25FA"/>
    <w:rsid w:val="1A187AD7"/>
    <w:rsid w:val="1A3C6E09"/>
    <w:rsid w:val="1A5F124B"/>
    <w:rsid w:val="1A623A21"/>
    <w:rsid w:val="1A657CD8"/>
    <w:rsid w:val="1A734CF7"/>
    <w:rsid w:val="1A736AA5"/>
    <w:rsid w:val="1A99476C"/>
    <w:rsid w:val="1A9D32A1"/>
    <w:rsid w:val="1AA47422"/>
    <w:rsid w:val="1AA97D25"/>
    <w:rsid w:val="1AE87493"/>
    <w:rsid w:val="1AFC1190"/>
    <w:rsid w:val="1B160A2E"/>
    <w:rsid w:val="1B1C538E"/>
    <w:rsid w:val="1B334E38"/>
    <w:rsid w:val="1B3C77DE"/>
    <w:rsid w:val="1B5B65FA"/>
    <w:rsid w:val="1BB158AD"/>
    <w:rsid w:val="1BB67591"/>
    <w:rsid w:val="1BC82E20"/>
    <w:rsid w:val="1C0C5403"/>
    <w:rsid w:val="1C220782"/>
    <w:rsid w:val="1CD07137"/>
    <w:rsid w:val="1D091942"/>
    <w:rsid w:val="1D230C56"/>
    <w:rsid w:val="1D232A04"/>
    <w:rsid w:val="1D3772E3"/>
    <w:rsid w:val="1D3F5364"/>
    <w:rsid w:val="1D9C6C71"/>
    <w:rsid w:val="1DD02C25"/>
    <w:rsid w:val="1DE06B47"/>
    <w:rsid w:val="1E270C05"/>
    <w:rsid w:val="1E74728F"/>
    <w:rsid w:val="1E7E7378"/>
    <w:rsid w:val="1E9B0CC0"/>
    <w:rsid w:val="1ED55F80"/>
    <w:rsid w:val="1EF9362F"/>
    <w:rsid w:val="1F10520A"/>
    <w:rsid w:val="1F536EA5"/>
    <w:rsid w:val="1F7D3F22"/>
    <w:rsid w:val="1F841754"/>
    <w:rsid w:val="1F93095F"/>
    <w:rsid w:val="1F947BE9"/>
    <w:rsid w:val="1FAB6CE1"/>
    <w:rsid w:val="1FB449F5"/>
    <w:rsid w:val="1FC01B05"/>
    <w:rsid w:val="1FF16DE9"/>
    <w:rsid w:val="201A187D"/>
    <w:rsid w:val="2020147D"/>
    <w:rsid w:val="202D724A"/>
    <w:rsid w:val="20825C93"/>
    <w:rsid w:val="20880DD0"/>
    <w:rsid w:val="20914128"/>
    <w:rsid w:val="20A57BD4"/>
    <w:rsid w:val="20D3029D"/>
    <w:rsid w:val="20EA20F2"/>
    <w:rsid w:val="20F30026"/>
    <w:rsid w:val="20FB5A46"/>
    <w:rsid w:val="211120A0"/>
    <w:rsid w:val="212925B3"/>
    <w:rsid w:val="213F1DD6"/>
    <w:rsid w:val="215552ED"/>
    <w:rsid w:val="2165568F"/>
    <w:rsid w:val="21681B68"/>
    <w:rsid w:val="216C24A0"/>
    <w:rsid w:val="21823A71"/>
    <w:rsid w:val="21921F06"/>
    <w:rsid w:val="2197737E"/>
    <w:rsid w:val="219A700D"/>
    <w:rsid w:val="2205092A"/>
    <w:rsid w:val="22056B7C"/>
    <w:rsid w:val="2211172D"/>
    <w:rsid w:val="221E19EC"/>
    <w:rsid w:val="22431452"/>
    <w:rsid w:val="22573150"/>
    <w:rsid w:val="22A243CB"/>
    <w:rsid w:val="22A44AB8"/>
    <w:rsid w:val="22B10AB2"/>
    <w:rsid w:val="22F95FB5"/>
    <w:rsid w:val="231177A3"/>
    <w:rsid w:val="231B12FE"/>
    <w:rsid w:val="232F3272"/>
    <w:rsid w:val="23610B8C"/>
    <w:rsid w:val="23C40371"/>
    <w:rsid w:val="23DC14E2"/>
    <w:rsid w:val="23FA1FE5"/>
    <w:rsid w:val="241D716E"/>
    <w:rsid w:val="24635DDC"/>
    <w:rsid w:val="2483373B"/>
    <w:rsid w:val="24B228BF"/>
    <w:rsid w:val="24B77ED6"/>
    <w:rsid w:val="24C06D8A"/>
    <w:rsid w:val="24E52C95"/>
    <w:rsid w:val="2547125A"/>
    <w:rsid w:val="25641E0C"/>
    <w:rsid w:val="258129BE"/>
    <w:rsid w:val="25965D3D"/>
    <w:rsid w:val="25C1725E"/>
    <w:rsid w:val="25C94365"/>
    <w:rsid w:val="25F14416"/>
    <w:rsid w:val="26071328"/>
    <w:rsid w:val="2613091A"/>
    <w:rsid w:val="262E5F76"/>
    <w:rsid w:val="265909F3"/>
    <w:rsid w:val="266320C3"/>
    <w:rsid w:val="268D7140"/>
    <w:rsid w:val="26B008DD"/>
    <w:rsid w:val="26C50688"/>
    <w:rsid w:val="27003DB6"/>
    <w:rsid w:val="271635D9"/>
    <w:rsid w:val="27247AA4"/>
    <w:rsid w:val="27621A0B"/>
    <w:rsid w:val="27676541"/>
    <w:rsid w:val="279446B3"/>
    <w:rsid w:val="279E7B84"/>
    <w:rsid w:val="27A42993"/>
    <w:rsid w:val="27CE7A10"/>
    <w:rsid w:val="27E86D24"/>
    <w:rsid w:val="27EB05C2"/>
    <w:rsid w:val="281A4A03"/>
    <w:rsid w:val="284E0B51"/>
    <w:rsid w:val="285A67DC"/>
    <w:rsid w:val="286D0FD7"/>
    <w:rsid w:val="28844573"/>
    <w:rsid w:val="2895052E"/>
    <w:rsid w:val="28981F1C"/>
    <w:rsid w:val="28C36E49"/>
    <w:rsid w:val="28D24D9C"/>
    <w:rsid w:val="28E514B5"/>
    <w:rsid w:val="28FE7045"/>
    <w:rsid w:val="2941798C"/>
    <w:rsid w:val="294C5129"/>
    <w:rsid w:val="295C70D0"/>
    <w:rsid w:val="297B340B"/>
    <w:rsid w:val="2996455E"/>
    <w:rsid w:val="299802D6"/>
    <w:rsid w:val="29A21154"/>
    <w:rsid w:val="29BA649E"/>
    <w:rsid w:val="29C14F55"/>
    <w:rsid w:val="29F76358"/>
    <w:rsid w:val="2A0479D3"/>
    <w:rsid w:val="2A070FB7"/>
    <w:rsid w:val="2A0911D4"/>
    <w:rsid w:val="2A17569E"/>
    <w:rsid w:val="2A1F3BA4"/>
    <w:rsid w:val="2A500BB0"/>
    <w:rsid w:val="2A5561C7"/>
    <w:rsid w:val="2A606AB6"/>
    <w:rsid w:val="2A6B7798"/>
    <w:rsid w:val="2AB73A3B"/>
    <w:rsid w:val="2ACE1666"/>
    <w:rsid w:val="2AE01F34"/>
    <w:rsid w:val="2AE43776"/>
    <w:rsid w:val="2AF84813"/>
    <w:rsid w:val="2B08148B"/>
    <w:rsid w:val="2B1971F4"/>
    <w:rsid w:val="2B1D5459"/>
    <w:rsid w:val="2B4A1AA4"/>
    <w:rsid w:val="2BEB6DE3"/>
    <w:rsid w:val="2C3047F6"/>
    <w:rsid w:val="2C402FFC"/>
    <w:rsid w:val="2C526E62"/>
    <w:rsid w:val="2C5A7AC4"/>
    <w:rsid w:val="2C6E6CED"/>
    <w:rsid w:val="2CCD64E8"/>
    <w:rsid w:val="2CD45AC9"/>
    <w:rsid w:val="2CDD0A3B"/>
    <w:rsid w:val="2CE35D0C"/>
    <w:rsid w:val="2CF41CC7"/>
    <w:rsid w:val="2D0E6608"/>
    <w:rsid w:val="2D526117"/>
    <w:rsid w:val="2D560DCD"/>
    <w:rsid w:val="2D5E54C7"/>
    <w:rsid w:val="2D840CC6"/>
    <w:rsid w:val="2D9611FA"/>
    <w:rsid w:val="2D980133"/>
    <w:rsid w:val="2D984126"/>
    <w:rsid w:val="2DA56DF2"/>
    <w:rsid w:val="2DCB643C"/>
    <w:rsid w:val="2DD438A6"/>
    <w:rsid w:val="2E265C1A"/>
    <w:rsid w:val="2E291E44"/>
    <w:rsid w:val="2E3305CD"/>
    <w:rsid w:val="2E8B665B"/>
    <w:rsid w:val="2E9A4AF0"/>
    <w:rsid w:val="2E9D07F0"/>
    <w:rsid w:val="2EA66FF1"/>
    <w:rsid w:val="2EA92D81"/>
    <w:rsid w:val="2EB72FAC"/>
    <w:rsid w:val="2EB93809"/>
    <w:rsid w:val="2ED8288A"/>
    <w:rsid w:val="2EF94BB6"/>
    <w:rsid w:val="2EF97D09"/>
    <w:rsid w:val="2F1523C9"/>
    <w:rsid w:val="2F2148C9"/>
    <w:rsid w:val="2F307202"/>
    <w:rsid w:val="2F3445FD"/>
    <w:rsid w:val="2F837332"/>
    <w:rsid w:val="2F9432ED"/>
    <w:rsid w:val="2F9E23BE"/>
    <w:rsid w:val="2FA31782"/>
    <w:rsid w:val="2FBD0A96"/>
    <w:rsid w:val="2FCF34F1"/>
    <w:rsid w:val="2FF95846"/>
    <w:rsid w:val="300246FB"/>
    <w:rsid w:val="30123FFF"/>
    <w:rsid w:val="305E198D"/>
    <w:rsid w:val="30965AF3"/>
    <w:rsid w:val="30C85944"/>
    <w:rsid w:val="31010E56"/>
    <w:rsid w:val="31285A71"/>
    <w:rsid w:val="3135465C"/>
    <w:rsid w:val="313C1E8F"/>
    <w:rsid w:val="31666F0B"/>
    <w:rsid w:val="31A7675B"/>
    <w:rsid w:val="31AB491E"/>
    <w:rsid w:val="31E3055C"/>
    <w:rsid w:val="31F77B64"/>
    <w:rsid w:val="32332253"/>
    <w:rsid w:val="328F5FEE"/>
    <w:rsid w:val="32BD2D68"/>
    <w:rsid w:val="32F3657D"/>
    <w:rsid w:val="332E1CAB"/>
    <w:rsid w:val="333D2E42"/>
    <w:rsid w:val="333F226C"/>
    <w:rsid w:val="33863895"/>
    <w:rsid w:val="33AB3400"/>
    <w:rsid w:val="33C26030"/>
    <w:rsid w:val="340D0E15"/>
    <w:rsid w:val="34207846"/>
    <w:rsid w:val="342323F8"/>
    <w:rsid w:val="34621C0C"/>
    <w:rsid w:val="34675474"/>
    <w:rsid w:val="347100A1"/>
    <w:rsid w:val="34727975"/>
    <w:rsid w:val="347D6A46"/>
    <w:rsid w:val="34897199"/>
    <w:rsid w:val="34C93A39"/>
    <w:rsid w:val="35121F83"/>
    <w:rsid w:val="35132F06"/>
    <w:rsid w:val="35201A23"/>
    <w:rsid w:val="352A0FEA"/>
    <w:rsid w:val="353200D9"/>
    <w:rsid w:val="35474AB0"/>
    <w:rsid w:val="35485068"/>
    <w:rsid w:val="354E440C"/>
    <w:rsid w:val="35804D54"/>
    <w:rsid w:val="35843E04"/>
    <w:rsid w:val="35B446E9"/>
    <w:rsid w:val="35C621AE"/>
    <w:rsid w:val="35C80195"/>
    <w:rsid w:val="35DD75FE"/>
    <w:rsid w:val="35FC399A"/>
    <w:rsid w:val="363C648D"/>
    <w:rsid w:val="36681030"/>
    <w:rsid w:val="366F23BE"/>
    <w:rsid w:val="368C4D1E"/>
    <w:rsid w:val="369915A3"/>
    <w:rsid w:val="36A77DAA"/>
    <w:rsid w:val="36C144C3"/>
    <w:rsid w:val="36DD1A1E"/>
    <w:rsid w:val="36E50544"/>
    <w:rsid w:val="36EA4528"/>
    <w:rsid w:val="36EF34FF"/>
    <w:rsid w:val="36FB71FF"/>
    <w:rsid w:val="37021484"/>
    <w:rsid w:val="37117919"/>
    <w:rsid w:val="37175297"/>
    <w:rsid w:val="3744384B"/>
    <w:rsid w:val="37492C0F"/>
    <w:rsid w:val="37621F23"/>
    <w:rsid w:val="3781082E"/>
    <w:rsid w:val="37863E63"/>
    <w:rsid w:val="37D42E21"/>
    <w:rsid w:val="37D8138F"/>
    <w:rsid w:val="382556DE"/>
    <w:rsid w:val="38327B47"/>
    <w:rsid w:val="38393E83"/>
    <w:rsid w:val="384546EC"/>
    <w:rsid w:val="38583556"/>
    <w:rsid w:val="388C7CC2"/>
    <w:rsid w:val="38A60D97"/>
    <w:rsid w:val="38B92676"/>
    <w:rsid w:val="39065067"/>
    <w:rsid w:val="390E0D37"/>
    <w:rsid w:val="391203ED"/>
    <w:rsid w:val="39335925"/>
    <w:rsid w:val="395F496C"/>
    <w:rsid w:val="39B8407C"/>
    <w:rsid w:val="39C649EB"/>
    <w:rsid w:val="3A024241"/>
    <w:rsid w:val="3A094562"/>
    <w:rsid w:val="3A14607F"/>
    <w:rsid w:val="3A217E73"/>
    <w:rsid w:val="3A555D6F"/>
    <w:rsid w:val="3A577D39"/>
    <w:rsid w:val="3A5E2E76"/>
    <w:rsid w:val="3A647D60"/>
    <w:rsid w:val="3A804B9A"/>
    <w:rsid w:val="3AA72A81"/>
    <w:rsid w:val="3AEC222F"/>
    <w:rsid w:val="3AFB6916"/>
    <w:rsid w:val="3B096510"/>
    <w:rsid w:val="3B0F23C2"/>
    <w:rsid w:val="3B245E6D"/>
    <w:rsid w:val="3B247C1B"/>
    <w:rsid w:val="3B414529"/>
    <w:rsid w:val="3B47240E"/>
    <w:rsid w:val="3B5B4297"/>
    <w:rsid w:val="3B8A41D3"/>
    <w:rsid w:val="3B8E778B"/>
    <w:rsid w:val="3BC00DC4"/>
    <w:rsid w:val="3BD038FF"/>
    <w:rsid w:val="3C0647B5"/>
    <w:rsid w:val="3C0D0F62"/>
    <w:rsid w:val="3C4D400B"/>
    <w:rsid w:val="3C4E4BA9"/>
    <w:rsid w:val="3C53795A"/>
    <w:rsid w:val="3C597D99"/>
    <w:rsid w:val="3C651D50"/>
    <w:rsid w:val="3C6A5B02"/>
    <w:rsid w:val="3C6F58C4"/>
    <w:rsid w:val="3C8666B4"/>
    <w:rsid w:val="3C942B7F"/>
    <w:rsid w:val="3CBB635D"/>
    <w:rsid w:val="3CDE6477"/>
    <w:rsid w:val="3CF7310E"/>
    <w:rsid w:val="3D181B4D"/>
    <w:rsid w:val="3D2E2080"/>
    <w:rsid w:val="3D475E43"/>
    <w:rsid w:val="3D5D5666"/>
    <w:rsid w:val="3D6B6B23"/>
    <w:rsid w:val="3D74650C"/>
    <w:rsid w:val="3DC115C9"/>
    <w:rsid w:val="3DFA175A"/>
    <w:rsid w:val="3DFF671E"/>
    <w:rsid w:val="3E103B9E"/>
    <w:rsid w:val="3E18158D"/>
    <w:rsid w:val="3E1C2E2C"/>
    <w:rsid w:val="3E2829E9"/>
    <w:rsid w:val="3E2D5039"/>
    <w:rsid w:val="3E5113D8"/>
    <w:rsid w:val="3EE146BD"/>
    <w:rsid w:val="3F10773B"/>
    <w:rsid w:val="3F5C5D42"/>
    <w:rsid w:val="3F6F1681"/>
    <w:rsid w:val="3F746048"/>
    <w:rsid w:val="3F79145C"/>
    <w:rsid w:val="3FB452E6"/>
    <w:rsid w:val="3FB86B84"/>
    <w:rsid w:val="3FC01EDD"/>
    <w:rsid w:val="3FCB2D5B"/>
    <w:rsid w:val="3FCC6AD3"/>
    <w:rsid w:val="3FEE66DD"/>
    <w:rsid w:val="3FF744E4"/>
    <w:rsid w:val="40036BE3"/>
    <w:rsid w:val="40077B0C"/>
    <w:rsid w:val="40356427"/>
    <w:rsid w:val="403D54CD"/>
    <w:rsid w:val="404B79F8"/>
    <w:rsid w:val="40B76E3C"/>
    <w:rsid w:val="40D35AEA"/>
    <w:rsid w:val="410858E9"/>
    <w:rsid w:val="41586871"/>
    <w:rsid w:val="4178455B"/>
    <w:rsid w:val="41A41AB6"/>
    <w:rsid w:val="41B873F1"/>
    <w:rsid w:val="41E55C2A"/>
    <w:rsid w:val="41FD7266"/>
    <w:rsid w:val="42565626"/>
    <w:rsid w:val="426A68F1"/>
    <w:rsid w:val="426B29F2"/>
    <w:rsid w:val="4292190E"/>
    <w:rsid w:val="42B61086"/>
    <w:rsid w:val="42B75819"/>
    <w:rsid w:val="42D53EF1"/>
    <w:rsid w:val="42ED38B0"/>
    <w:rsid w:val="43122A4F"/>
    <w:rsid w:val="435766B4"/>
    <w:rsid w:val="43A02171"/>
    <w:rsid w:val="43A63197"/>
    <w:rsid w:val="43B90147"/>
    <w:rsid w:val="43BC29BB"/>
    <w:rsid w:val="43DE6DD5"/>
    <w:rsid w:val="43F6182A"/>
    <w:rsid w:val="44623B29"/>
    <w:rsid w:val="448C445B"/>
    <w:rsid w:val="44B21CFE"/>
    <w:rsid w:val="44C14F4F"/>
    <w:rsid w:val="44D53D34"/>
    <w:rsid w:val="44DF2E05"/>
    <w:rsid w:val="44F87A23"/>
    <w:rsid w:val="45034D45"/>
    <w:rsid w:val="4525645E"/>
    <w:rsid w:val="45637592"/>
    <w:rsid w:val="45723C79"/>
    <w:rsid w:val="458A4224"/>
    <w:rsid w:val="45DB537A"/>
    <w:rsid w:val="45E5444B"/>
    <w:rsid w:val="45E82159"/>
    <w:rsid w:val="460C19D8"/>
    <w:rsid w:val="464F7B16"/>
    <w:rsid w:val="465025C4"/>
    <w:rsid w:val="46625A9C"/>
    <w:rsid w:val="46767799"/>
    <w:rsid w:val="46AC6D17"/>
    <w:rsid w:val="46B300A5"/>
    <w:rsid w:val="471E40C9"/>
    <w:rsid w:val="47306EFC"/>
    <w:rsid w:val="475036EC"/>
    <w:rsid w:val="476304E5"/>
    <w:rsid w:val="47745A86"/>
    <w:rsid w:val="477C6561"/>
    <w:rsid w:val="47A67C0A"/>
    <w:rsid w:val="47B73EFD"/>
    <w:rsid w:val="47CA1B4A"/>
    <w:rsid w:val="47D93349"/>
    <w:rsid w:val="47FB1D04"/>
    <w:rsid w:val="480F1C53"/>
    <w:rsid w:val="48407E8B"/>
    <w:rsid w:val="48707469"/>
    <w:rsid w:val="48831CF9"/>
    <w:rsid w:val="48BB120A"/>
    <w:rsid w:val="48F03833"/>
    <w:rsid w:val="49184B37"/>
    <w:rsid w:val="494A551F"/>
    <w:rsid w:val="49520049"/>
    <w:rsid w:val="497A478D"/>
    <w:rsid w:val="497C0C22"/>
    <w:rsid w:val="497D1516"/>
    <w:rsid w:val="49926698"/>
    <w:rsid w:val="49A346C1"/>
    <w:rsid w:val="49D00F6E"/>
    <w:rsid w:val="49E3107C"/>
    <w:rsid w:val="49F25388"/>
    <w:rsid w:val="4A037596"/>
    <w:rsid w:val="4A162E25"/>
    <w:rsid w:val="4A280DAA"/>
    <w:rsid w:val="4A311421"/>
    <w:rsid w:val="4A49144C"/>
    <w:rsid w:val="4A4C2CEB"/>
    <w:rsid w:val="4A633B90"/>
    <w:rsid w:val="4A673681"/>
    <w:rsid w:val="4A965D14"/>
    <w:rsid w:val="4AB80380"/>
    <w:rsid w:val="4ADA6548"/>
    <w:rsid w:val="4AF75215"/>
    <w:rsid w:val="4B132359"/>
    <w:rsid w:val="4B337A07"/>
    <w:rsid w:val="4B5A31E5"/>
    <w:rsid w:val="4B952C62"/>
    <w:rsid w:val="4BA1374F"/>
    <w:rsid w:val="4BA24A06"/>
    <w:rsid w:val="4BC845F3"/>
    <w:rsid w:val="4BEF7DD1"/>
    <w:rsid w:val="4C003D8D"/>
    <w:rsid w:val="4C101AF6"/>
    <w:rsid w:val="4C177328"/>
    <w:rsid w:val="4C235CCD"/>
    <w:rsid w:val="4C416153"/>
    <w:rsid w:val="4C6063F0"/>
    <w:rsid w:val="4C7622A1"/>
    <w:rsid w:val="4C8C2316"/>
    <w:rsid w:val="4CC90623"/>
    <w:rsid w:val="4CE0596C"/>
    <w:rsid w:val="4D237C5B"/>
    <w:rsid w:val="4D330192"/>
    <w:rsid w:val="4D357A66"/>
    <w:rsid w:val="4D6646B1"/>
    <w:rsid w:val="4D765AF8"/>
    <w:rsid w:val="4D7C5695"/>
    <w:rsid w:val="4D9A1FBF"/>
    <w:rsid w:val="4DB33731"/>
    <w:rsid w:val="4DB34E9F"/>
    <w:rsid w:val="4DD52FF7"/>
    <w:rsid w:val="4DDA685F"/>
    <w:rsid w:val="4DEA6AA2"/>
    <w:rsid w:val="4E200716"/>
    <w:rsid w:val="4E577EB0"/>
    <w:rsid w:val="4EC015B1"/>
    <w:rsid w:val="4ECF50CE"/>
    <w:rsid w:val="4EF37BD9"/>
    <w:rsid w:val="4F2C6C47"/>
    <w:rsid w:val="4F4768A2"/>
    <w:rsid w:val="4F570614"/>
    <w:rsid w:val="4F7B372A"/>
    <w:rsid w:val="4F8B7E11"/>
    <w:rsid w:val="4F9D18F3"/>
    <w:rsid w:val="4FCB2904"/>
    <w:rsid w:val="50302767"/>
    <w:rsid w:val="50357D7D"/>
    <w:rsid w:val="5043249A"/>
    <w:rsid w:val="5051384E"/>
    <w:rsid w:val="50526B81"/>
    <w:rsid w:val="508E75C7"/>
    <w:rsid w:val="50932863"/>
    <w:rsid w:val="50C64757"/>
    <w:rsid w:val="50D574E2"/>
    <w:rsid w:val="510C31D4"/>
    <w:rsid w:val="51616410"/>
    <w:rsid w:val="51801680"/>
    <w:rsid w:val="51D3784E"/>
    <w:rsid w:val="52650D16"/>
    <w:rsid w:val="52677B27"/>
    <w:rsid w:val="527252B8"/>
    <w:rsid w:val="528B597C"/>
    <w:rsid w:val="536966BB"/>
    <w:rsid w:val="53734A39"/>
    <w:rsid w:val="539D0113"/>
    <w:rsid w:val="54295E4B"/>
    <w:rsid w:val="544C647C"/>
    <w:rsid w:val="546155E5"/>
    <w:rsid w:val="549C661D"/>
    <w:rsid w:val="54C96FEB"/>
    <w:rsid w:val="54F975CB"/>
    <w:rsid w:val="553954C4"/>
    <w:rsid w:val="556F3D31"/>
    <w:rsid w:val="559A3452"/>
    <w:rsid w:val="55BE3600"/>
    <w:rsid w:val="55CE5FAF"/>
    <w:rsid w:val="55FB55C5"/>
    <w:rsid w:val="565E4DBB"/>
    <w:rsid w:val="5684380C"/>
    <w:rsid w:val="568630E0"/>
    <w:rsid w:val="56AE5BF6"/>
    <w:rsid w:val="570C10BF"/>
    <w:rsid w:val="57233025"/>
    <w:rsid w:val="57272975"/>
    <w:rsid w:val="572D7A00"/>
    <w:rsid w:val="57572CCF"/>
    <w:rsid w:val="57811841"/>
    <w:rsid w:val="57D52571"/>
    <w:rsid w:val="57EA63E9"/>
    <w:rsid w:val="58340631"/>
    <w:rsid w:val="58346B6C"/>
    <w:rsid w:val="58403763"/>
    <w:rsid w:val="58B3037A"/>
    <w:rsid w:val="58BA3515"/>
    <w:rsid w:val="58CA3C80"/>
    <w:rsid w:val="58FD3402"/>
    <w:rsid w:val="59145BA8"/>
    <w:rsid w:val="592F7A5F"/>
    <w:rsid w:val="5963595B"/>
    <w:rsid w:val="598F3C15"/>
    <w:rsid w:val="59DD395F"/>
    <w:rsid w:val="59DE58CE"/>
    <w:rsid w:val="59FB3DE5"/>
    <w:rsid w:val="5A1256BA"/>
    <w:rsid w:val="5A326991"/>
    <w:rsid w:val="5A352772"/>
    <w:rsid w:val="5A386DE8"/>
    <w:rsid w:val="5A3D3D89"/>
    <w:rsid w:val="5A601E9A"/>
    <w:rsid w:val="5A7476F4"/>
    <w:rsid w:val="5AA24261"/>
    <w:rsid w:val="5AAE0E58"/>
    <w:rsid w:val="5AB51CCA"/>
    <w:rsid w:val="5AB57322"/>
    <w:rsid w:val="5AC468CD"/>
    <w:rsid w:val="5AE66844"/>
    <w:rsid w:val="5AF820D3"/>
    <w:rsid w:val="5B3E51B6"/>
    <w:rsid w:val="5B667984"/>
    <w:rsid w:val="5B8B1199"/>
    <w:rsid w:val="5BC0596D"/>
    <w:rsid w:val="5BDE576D"/>
    <w:rsid w:val="5BE5635E"/>
    <w:rsid w:val="5C03587B"/>
    <w:rsid w:val="5C052CF9"/>
    <w:rsid w:val="5C1E64FE"/>
    <w:rsid w:val="5C2238AB"/>
    <w:rsid w:val="5C317F92"/>
    <w:rsid w:val="5C4805D9"/>
    <w:rsid w:val="5C4952DC"/>
    <w:rsid w:val="5C8E7193"/>
    <w:rsid w:val="5C966047"/>
    <w:rsid w:val="5D184CAE"/>
    <w:rsid w:val="5D192F00"/>
    <w:rsid w:val="5D3C537D"/>
    <w:rsid w:val="5D46181B"/>
    <w:rsid w:val="5D4810F0"/>
    <w:rsid w:val="5D4E0340"/>
    <w:rsid w:val="5D6B1282"/>
    <w:rsid w:val="5DA12EF6"/>
    <w:rsid w:val="5DA53F1B"/>
    <w:rsid w:val="5DAD53F7"/>
    <w:rsid w:val="5DB03139"/>
    <w:rsid w:val="5DC63FF9"/>
    <w:rsid w:val="5E005E6E"/>
    <w:rsid w:val="5E16137A"/>
    <w:rsid w:val="5E4775F9"/>
    <w:rsid w:val="5E677C9B"/>
    <w:rsid w:val="5EB6328A"/>
    <w:rsid w:val="5F335DCF"/>
    <w:rsid w:val="5F352FDE"/>
    <w:rsid w:val="5F3D5379"/>
    <w:rsid w:val="5F4D6E91"/>
    <w:rsid w:val="5F837BCE"/>
    <w:rsid w:val="5FA568C3"/>
    <w:rsid w:val="5FC627A0"/>
    <w:rsid w:val="5FCC63D2"/>
    <w:rsid w:val="5FD02136"/>
    <w:rsid w:val="5FD076A0"/>
    <w:rsid w:val="5FD96977"/>
    <w:rsid w:val="600F4147"/>
    <w:rsid w:val="60237BF2"/>
    <w:rsid w:val="60961993"/>
    <w:rsid w:val="60AC5E39"/>
    <w:rsid w:val="60CC0666"/>
    <w:rsid w:val="60CF7DE0"/>
    <w:rsid w:val="61204131"/>
    <w:rsid w:val="614B15F9"/>
    <w:rsid w:val="618B3CA1"/>
    <w:rsid w:val="61DA4AD9"/>
    <w:rsid w:val="626764BC"/>
    <w:rsid w:val="62976475"/>
    <w:rsid w:val="62A96AD4"/>
    <w:rsid w:val="62AE498D"/>
    <w:rsid w:val="62BB192F"/>
    <w:rsid w:val="62E1388E"/>
    <w:rsid w:val="6300421A"/>
    <w:rsid w:val="630F445E"/>
    <w:rsid w:val="63190CCD"/>
    <w:rsid w:val="6333752A"/>
    <w:rsid w:val="63424833"/>
    <w:rsid w:val="63BD18E0"/>
    <w:rsid w:val="63F91D33"/>
    <w:rsid w:val="63FF44D2"/>
    <w:rsid w:val="645E744B"/>
    <w:rsid w:val="647838E3"/>
    <w:rsid w:val="648275DD"/>
    <w:rsid w:val="648336D6"/>
    <w:rsid w:val="648F687F"/>
    <w:rsid w:val="64AB0CD1"/>
    <w:rsid w:val="64AF7CA6"/>
    <w:rsid w:val="64BB2AEF"/>
    <w:rsid w:val="64D4770D"/>
    <w:rsid w:val="64D84E1A"/>
    <w:rsid w:val="64D87C17"/>
    <w:rsid w:val="64DA1A62"/>
    <w:rsid w:val="65075D34"/>
    <w:rsid w:val="651E4E2C"/>
    <w:rsid w:val="654E74BF"/>
    <w:rsid w:val="65515529"/>
    <w:rsid w:val="655A2308"/>
    <w:rsid w:val="65637788"/>
    <w:rsid w:val="65640A91"/>
    <w:rsid w:val="65675ED4"/>
    <w:rsid w:val="659770B8"/>
    <w:rsid w:val="65AB4911"/>
    <w:rsid w:val="65B80DDC"/>
    <w:rsid w:val="65BA6903"/>
    <w:rsid w:val="65D33883"/>
    <w:rsid w:val="65E2561F"/>
    <w:rsid w:val="65FA13F5"/>
    <w:rsid w:val="6609788A"/>
    <w:rsid w:val="66171FA7"/>
    <w:rsid w:val="6649491D"/>
    <w:rsid w:val="665B17E1"/>
    <w:rsid w:val="666176C6"/>
    <w:rsid w:val="666F593F"/>
    <w:rsid w:val="66C043ED"/>
    <w:rsid w:val="66C35C8B"/>
    <w:rsid w:val="66DE7EC6"/>
    <w:rsid w:val="674A351B"/>
    <w:rsid w:val="675B5EC3"/>
    <w:rsid w:val="676E3E49"/>
    <w:rsid w:val="676E5CC7"/>
    <w:rsid w:val="67902011"/>
    <w:rsid w:val="67D85766"/>
    <w:rsid w:val="67DA7D95"/>
    <w:rsid w:val="67F71E56"/>
    <w:rsid w:val="68091DC3"/>
    <w:rsid w:val="684C44B3"/>
    <w:rsid w:val="686F60CA"/>
    <w:rsid w:val="6874548F"/>
    <w:rsid w:val="68A35D74"/>
    <w:rsid w:val="68A815DC"/>
    <w:rsid w:val="68DB550E"/>
    <w:rsid w:val="68DE6680"/>
    <w:rsid w:val="690F1726"/>
    <w:rsid w:val="69177907"/>
    <w:rsid w:val="692073C4"/>
    <w:rsid w:val="69216C99"/>
    <w:rsid w:val="69356FC7"/>
    <w:rsid w:val="696E1952"/>
    <w:rsid w:val="698C340E"/>
    <w:rsid w:val="698F00A6"/>
    <w:rsid w:val="69CA13F4"/>
    <w:rsid w:val="6A0960AB"/>
    <w:rsid w:val="6A244C92"/>
    <w:rsid w:val="6A585B4A"/>
    <w:rsid w:val="6A6D6639"/>
    <w:rsid w:val="6A7476A4"/>
    <w:rsid w:val="6A7F011B"/>
    <w:rsid w:val="6AA27434"/>
    <w:rsid w:val="6AC7760B"/>
    <w:rsid w:val="6AD27A6A"/>
    <w:rsid w:val="6AFF300A"/>
    <w:rsid w:val="6B113469"/>
    <w:rsid w:val="6B533A81"/>
    <w:rsid w:val="6B696AC6"/>
    <w:rsid w:val="6B772141"/>
    <w:rsid w:val="6B8267D6"/>
    <w:rsid w:val="6BA22313"/>
    <w:rsid w:val="6BB8002B"/>
    <w:rsid w:val="6BE24E05"/>
    <w:rsid w:val="6BEA12C8"/>
    <w:rsid w:val="6C124248"/>
    <w:rsid w:val="6C164AAF"/>
    <w:rsid w:val="6C20148A"/>
    <w:rsid w:val="6C22683E"/>
    <w:rsid w:val="6C262F44"/>
    <w:rsid w:val="6C457D6E"/>
    <w:rsid w:val="6C6121CE"/>
    <w:rsid w:val="6C6B059F"/>
    <w:rsid w:val="6CA00B62"/>
    <w:rsid w:val="6CC4275D"/>
    <w:rsid w:val="6CED3A62"/>
    <w:rsid w:val="6CFE27E3"/>
    <w:rsid w:val="6D274D94"/>
    <w:rsid w:val="6D3B26FC"/>
    <w:rsid w:val="6D4F0278"/>
    <w:rsid w:val="6D5910F7"/>
    <w:rsid w:val="6D955447"/>
    <w:rsid w:val="6D96027F"/>
    <w:rsid w:val="6DA305C4"/>
    <w:rsid w:val="6DCF13B9"/>
    <w:rsid w:val="6DD01AB0"/>
    <w:rsid w:val="6DE90713"/>
    <w:rsid w:val="6DEB139F"/>
    <w:rsid w:val="6E470F4F"/>
    <w:rsid w:val="6E4833ED"/>
    <w:rsid w:val="6E8B3FD1"/>
    <w:rsid w:val="6E8D72AA"/>
    <w:rsid w:val="6E9D5013"/>
    <w:rsid w:val="6EA0255E"/>
    <w:rsid w:val="6EDC1FE0"/>
    <w:rsid w:val="6F4831D1"/>
    <w:rsid w:val="6F4D02A4"/>
    <w:rsid w:val="6F4F630E"/>
    <w:rsid w:val="6F814935"/>
    <w:rsid w:val="6F8C1F1F"/>
    <w:rsid w:val="6F977CB5"/>
    <w:rsid w:val="6FC767EC"/>
    <w:rsid w:val="6FD131C7"/>
    <w:rsid w:val="70030FCD"/>
    <w:rsid w:val="702E23C7"/>
    <w:rsid w:val="706B3710"/>
    <w:rsid w:val="70784F6A"/>
    <w:rsid w:val="70B2470E"/>
    <w:rsid w:val="70C1323B"/>
    <w:rsid w:val="70E1568B"/>
    <w:rsid w:val="71237025"/>
    <w:rsid w:val="713F1985"/>
    <w:rsid w:val="71533254"/>
    <w:rsid w:val="71736911"/>
    <w:rsid w:val="71804F4F"/>
    <w:rsid w:val="71816E6E"/>
    <w:rsid w:val="71864485"/>
    <w:rsid w:val="71943263"/>
    <w:rsid w:val="71946BA2"/>
    <w:rsid w:val="71A843FB"/>
    <w:rsid w:val="71B903B6"/>
    <w:rsid w:val="7205184D"/>
    <w:rsid w:val="720B21A0"/>
    <w:rsid w:val="720C498A"/>
    <w:rsid w:val="723D4B43"/>
    <w:rsid w:val="728346D7"/>
    <w:rsid w:val="72E163D5"/>
    <w:rsid w:val="72E66F89"/>
    <w:rsid w:val="72FC1840"/>
    <w:rsid w:val="73104006"/>
    <w:rsid w:val="731D17F8"/>
    <w:rsid w:val="732455A8"/>
    <w:rsid w:val="732E0930"/>
    <w:rsid w:val="732F1165"/>
    <w:rsid w:val="73685BF0"/>
    <w:rsid w:val="736A5E0C"/>
    <w:rsid w:val="7375655F"/>
    <w:rsid w:val="737C169B"/>
    <w:rsid w:val="73814F04"/>
    <w:rsid w:val="7386076C"/>
    <w:rsid w:val="73DB0AB8"/>
    <w:rsid w:val="742B17B4"/>
    <w:rsid w:val="7447614D"/>
    <w:rsid w:val="744B3D4C"/>
    <w:rsid w:val="74980757"/>
    <w:rsid w:val="74A628A0"/>
    <w:rsid w:val="74C0380A"/>
    <w:rsid w:val="74F55BA9"/>
    <w:rsid w:val="751540E3"/>
    <w:rsid w:val="75287D2D"/>
    <w:rsid w:val="75296EEB"/>
    <w:rsid w:val="7529740C"/>
    <w:rsid w:val="759A22AD"/>
    <w:rsid w:val="75A77847"/>
    <w:rsid w:val="75AD31CB"/>
    <w:rsid w:val="75CB690A"/>
    <w:rsid w:val="75E33C54"/>
    <w:rsid w:val="76085468"/>
    <w:rsid w:val="764861AD"/>
    <w:rsid w:val="76766876"/>
    <w:rsid w:val="76984A3E"/>
    <w:rsid w:val="769B452E"/>
    <w:rsid w:val="76A21419"/>
    <w:rsid w:val="76ED50BF"/>
    <w:rsid w:val="76EF03D6"/>
    <w:rsid w:val="772207AC"/>
    <w:rsid w:val="772462D2"/>
    <w:rsid w:val="77334767"/>
    <w:rsid w:val="775363CA"/>
    <w:rsid w:val="775C1F10"/>
    <w:rsid w:val="776B5CAF"/>
    <w:rsid w:val="77822286"/>
    <w:rsid w:val="77822AD2"/>
    <w:rsid w:val="779A47E6"/>
    <w:rsid w:val="77C21EAC"/>
    <w:rsid w:val="7826607A"/>
    <w:rsid w:val="7846297D"/>
    <w:rsid w:val="785250C1"/>
    <w:rsid w:val="789C4ED1"/>
    <w:rsid w:val="78A07EF6"/>
    <w:rsid w:val="78AC273E"/>
    <w:rsid w:val="78D41F79"/>
    <w:rsid w:val="791D747D"/>
    <w:rsid w:val="792C3B64"/>
    <w:rsid w:val="79444A09"/>
    <w:rsid w:val="79516FD2"/>
    <w:rsid w:val="796706F8"/>
    <w:rsid w:val="79690914"/>
    <w:rsid w:val="796E7CD8"/>
    <w:rsid w:val="79780B57"/>
    <w:rsid w:val="798D4602"/>
    <w:rsid w:val="79BD656A"/>
    <w:rsid w:val="79CB6ED9"/>
    <w:rsid w:val="79E06FD9"/>
    <w:rsid w:val="79F4509E"/>
    <w:rsid w:val="79F521A7"/>
    <w:rsid w:val="79FD24C6"/>
    <w:rsid w:val="7A054191"/>
    <w:rsid w:val="7A0D5743"/>
    <w:rsid w:val="7A1B7E60"/>
    <w:rsid w:val="7A2B3BCE"/>
    <w:rsid w:val="7A4D5B40"/>
    <w:rsid w:val="7A62237E"/>
    <w:rsid w:val="7A796935"/>
    <w:rsid w:val="7A7E219D"/>
    <w:rsid w:val="7A870038"/>
    <w:rsid w:val="7AA83683"/>
    <w:rsid w:val="7AC3206E"/>
    <w:rsid w:val="7AE973D5"/>
    <w:rsid w:val="7B02692A"/>
    <w:rsid w:val="7B2014A6"/>
    <w:rsid w:val="7B582A1F"/>
    <w:rsid w:val="7B5F5B2A"/>
    <w:rsid w:val="7BDD1145"/>
    <w:rsid w:val="7C4405BE"/>
    <w:rsid w:val="7C945CA8"/>
    <w:rsid w:val="7C9E3594"/>
    <w:rsid w:val="7D000DAA"/>
    <w:rsid w:val="7D3F3305"/>
    <w:rsid w:val="7D796C4C"/>
    <w:rsid w:val="7D891584"/>
    <w:rsid w:val="7D9D0B8C"/>
    <w:rsid w:val="7DB163E5"/>
    <w:rsid w:val="7DC4436B"/>
    <w:rsid w:val="7DC73F51"/>
    <w:rsid w:val="7DD345AE"/>
    <w:rsid w:val="7DE06CCB"/>
    <w:rsid w:val="7E003312"/>
    <w:rsid w:val="7E260B81"/>
    <w:rsid w:val="7E4360C9"/>
    <w:rsid w:val="7E9401E1"/>
    <w:rsid w:val="7E953F59"/>
    <w:rsid w:val="7EC55C1F"/>
    <w:rsid w:val="7EC860DC"/>
    <w:rsid w:val="7F005876"/>
    <w:rsid w:val="7F1B7CAE"/>
    <w:rsid w:val="7F210F90"/>
    <w:rsid w:val="7F392B36"/>
    <w:rsid w:val="7F3D2627"/>
    <w:rsid w:val="7F58120E"/>
    <w:rsid w:val="7F631B2A"/>
    <w:rsid w:val="7F65392B"/>
    <w:rsid w:val="7F985AAF"/>
    <w:rsid w:val="7FF6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6">
    <w:name w:val="heading 2"/>
    <w:basedOn w:val="1"/>
    <w:next w:val="1"/>
    <w:qFormat/>
    <w:uiPriority w:val="0"/>
    <w:pPr>
      <w:keepNext/>
      <w:keepLines/>
      <w:numPr>
        <w:ilvl w:val="0"/>
        <w:numId w:val="2"/>
      </w:numPr>
      <w:spacing w:line="360" w:lineRule="auto"/>
      <w:outlineLvl w:val="1"/>
    </w:pPr>
    <w:rPr>
      <w:rFonts w:ascii="Arial" w:hAnsi="Arial"/>
      <w:b/>
      <w:bCs/>
      <w:sz w:val="28"/>
      <w:szCs w:val="32"/>
    </w:rPr>
  </w:style>
  <w:style w:type="paragraph" w:styleId="7">
    <w:name w:val="heading 3"/>
    <w:basedOn w:val="1"/>
    <w:next w:val="1"/>
    <w:qFormat/>
    <w:uiPriority w:val="0"/>
    <w:pPr>
      <w:keepNext/>
      <w:keepLines/>
      <w:spacing w:before="120" w:after="120" w:line="360" w:lineRule="auto"/>
      <w:jc w:val="left"/>
      <w:outlineLvl w:val="2"/>
    </w:pPr>
    <w:rPr>
      <w:rFonts w:ascii="黑体" w:hAnsi="黑体" w:eastAsia="黑体"/>
      <w:bCs/>
      <w:sz w:val="24"/>
    </w:rPr>
  </w:style>
  <w:style w:type="paragraph" w:styleId="8">
    <w:name w:val="heading 4"/>
    <w:basedOn w:val="1"/>
    <w:next w:val="1"/>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Calibri" w:hAnsi="Calibri"/>
      <w:szCs w:val="22"/>
    </w:rPr>
  </w:style>
  <w:style w:type="paragraph" w:styleId="3">
    <w:name w:val="Body Text Indent"/>
    <w:basedOn w:val="1"/>
    <w:next w:val="4"/>
    <w:link w:val="33"/>
    <w:qFormat/>
    <w:uiPriority w:val="0"/>
    <w:pPr>
      <w:spacing w:after="120"/>
      <w:ind w:left="420" w:leftChars="200"/>
    </w:pPr>
  </w:style>
  <w:style w:type="paragraph" w:styleId="4">
    <w:name w:val="envelope return"/>
    <w:basedOn w:val="1"/>
    <w:unhideWhenUsed/>
    <w:qFormat/>
    <w:uiPriority w:val="99"/>
    <w:pPr>
      <w:snapToGrid w:val="0"/>
      <w:ind w:firstLine="200"/>
    </w:pPr>
    <w:rPr>
      <w:rFonts w:ascii="Arial" w:hAnsi="Arial" w:cs="Arial"/>
      <w:szCs w:val="20"/>
    </w:rPr>
  </w:style>
  <w:style w:type="paragraph" w:styleId="9">
    <w:name w:val="annotation text"/>
    <w:basedOn w:val="1"/>
    <w:qFormat/>
    <w:uiPriority w:val="0"/>
    <w:pPr>
      <w:jc w:val="left"/>
    </w:pPr>
  </w:style>
  <w:style w:type="paragraph" w:styleId="10">
    <w:name w:val="Body Text"/>
    <w:basedOn w:val="1"/>
    <w:next w:val="11"/>
    <w:qFormat/>
    <w:uiPriority w:val="0"/>
    <w:pPr>
      <w:spacing w:after="120"/>
    </w:pPr>
  </w:style>
  <w:style w:type="paragraph" w:customStyle="1" w:styleId="11">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styleId="12">
    <w:name w:val="Plain Text"/>
    <w:basedOn w:val="1"/>
    <w:link w:val="34"/>
    <w:qFormat/>
    <w:uiPriority w:val="0"/>
    <w:rPr>
      <w:rFonts w:ascii="宋体" w:hAnsi="Courier New"/>
      <w:szCs w:val="20"/>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next w:val="1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5">
    <w:name w:val="Quote"/>
    <w:basedOn w:val="1"/>
    <w:next w:val="1"/>
    <w:unhideWhenUsed/>
    <w:qFormat/>
    <w:uiPriority w:val="99"/>
    <w:pPr>
      <w:ind w:left="864" w:right="864"/>
      <w:jc w:val="center"/>
    </w:pPr>
    <w:rPr>
      <w:rFonts w:ascii="Times New Roman" w:hAnsi="Times New Roman"/>
      <w:i/>
      <w:iCs/>
      <w:color w:val="404040"/>
      <w:szCs w:val="21"/>
    </w:rPr>
  </w:style>
  <w:style w:type="paragraph" w:styleId="16">
    <w:name w:val="toc 1"/>
    <w:basedOn w:val="1"/>
    <w:next w:val="1"/>
    <w:qFormat/>
    <w:uiPriority w:val="0"/>
  </w:style>
  <w:style w:type="paragraph" w:styleId="17">
    <w:name w:val="footnote text"/>
    <w:basedOn w:val="1"/>
    <w:unhideWhenUsed/>
    <w:qFormat/>
    <w:uiPriority w:val="0"/>
    <w:pPr>
      <w:snapToGrid w:val="0"/>
      <w:jc w:val="left"/>
    </w:pPr>
    <w:rPr>
      <w:sz w:val="18"/>
      <w:szCs w:val="18"/>
    </w:rPr>
  </w:style>
  <w:style w:type="paragraph" w:styleId="18">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9">
    <w:name w:val="Title"/>
    <w:basedOn w:val="1"/>
    <w:next w:val="1"/>
    <w:qFormat/>
    <w:uiPriority w:val="0"/>
    <w:pPr>
      <w:tabs>
        <w:tab w:val="left" w:pos="450"/>
      </w:tabs>
      <w:ind w:left="450" w:hanging="450"/>
      <w:jc w:val="center"/>
    </w:pPr>
    <w:rPr>
      <w:rFonts w:ascii="黑体" w:eastAsia="黑体"/>
      <w:sz w:val="32"/>
      <w:szCs w:val="20"/>
    </w:rPr>
  </w:style>
  <w:style w:type="paragraph" w:styleId="20">
    <w:name w:val="Body Text First Indent"/>
    <w:basedOn w:val="10"/>
    <w:qFormat/>
    <w:uiPriority w:val="99"/>
    <w:pPr>
      <w:ind w:firstLine="420" w:firstLineChars="1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basedOn w:val="23"/>
    <w:unhideWhenUsed/>
    <w:qFormat/>
    <w:uiPriority w:val="99"/>
    <w:rPr>
      <w:rFonts w:ascii="Times New Roman" w:hAnsi="Times New Roman" w:eastAsia="宋体" w:cs="Times New Roman"/>
      <w:color w:val="0000FF"/>
      <w:kern w:val="2"/>
      <w:sz w:val="21"/>
      <w:szCs w:val="24"/>
      <w:u w:val="single"/>
      <w:lang w:eastAsia="zh-CN"/>
    </w:rPr>
  </w:style>
  <w:style w:type="character" w:styleId="26">
    <w:name w:val="footnote reference"/>
    <w:unhideWhenUsed/>
    <w:qFormat/>
    <w:uiPriority w:val="0"/>
    <w:rPr>
      <w:vertAlign w:val="superscript"/>
    </w:rPr>
  </w:style>
  <w:style w:type="paragraph" w:customStyle="1" w:styleId="27">
    <w:name w:val="引用1"/>
    <w:basedOn w:val="1"/>
    <w:next w:val="1"/>
    <w:unhideWhenUsed/>
    <w:qFormat/>
    <w:uiPriority w:val="99"/>
    <w:pPr>
      <w:ind w:left="864" w:right="864"/>
      <w:jc w:val="center"/>
    </w:pPr>
    <w:rPr>
      <w:rFonts w:ascii="Times New Roman" w:hAnsi="Times New Roman"/>
      <w:i/>
      <w:iCs/>
      <w:color w:val="404040"/>
      <w:szCs w:val="21"/>
    </w:rPr>
  </w:style>
  <w:style w:type="paragraph" w:customStyle="1" w:styleId="28">
    <w:name w:val="WPSOffice手动目录 1"/>
    <w:qFormat/>
    <w:uiPriority w:val="0"/>
    <w:rPr>
      <w:rFonts w:asciiTheme="minorHAnsi" w:hAnsiTheme="minorHAnsi" w:eastAsiaTheme="minorEastAsia" w:cstheme="minorBidi"/>
      <w:lang w:val="en-US" w:eastAsia="zh-CN" w:bidi="ar-SA"/>
    </w:rPr>
  </w:style>
  <w:style w:type="character" w:customStyle="1" w:styleId="29">
    <w:name w:val="font61"/>
    <w:basedOn w:val="23"/>
    <w:qFormat/>
    <w:uiPriority w:val="0"/>
    <w:rPr>
      <w:rFonts w:hint="eastAsia" w:ascii="宋体" w:hAnsi="宋体" w:eastAsia="宋体" w:cs="宋体"/>
      <w:color w:val="000000"/>
      <w:sz w:val="20"/>
      <w:szCs w:val="20"/>
      <w:u w:val="none"/>
    </w:rPr>
  </w:style>
  <w:style w:type="character" w:customStyle="1" w:styleId="30">
    <w:name w:val="font141"/>
    <w:basedOn w:val="23"/>
    <w:qFormat/>
    <w:uiPriority w:val="0"/>
    <w:rPr>
      <w:rFonts w:hint="eastAsia" w:ascii="宋体" w:hAnsi="宋体" w:eastAsia="宋体" w:cs="宋体"/>
      <w:color w:val="000000"/>
      <w:sz w:val="24"/>
      <w:szCs w:val="24"/>
      <w:u w:val="none"/>
      <w:vertAlign w:val="superscript"/>
    </w:rPr>
  </w:style>
  <w:style w:type="paragraph" w:customStyle="1" w:styleId="31">
    <w:name w:val="样式 标题 2 + Times New Roman 四号 非加粗 段前: 5 磅 段后: 0 磅 行距: 固定值 20..."/>
    <w:basedOn w:val="6"/>
    <w:qFormat/>
    <w:uiPriority w:val="0"/>
    <w:pPr>
      <w:spacing w:before="100" w:line="400" w:lineRule="exact"/>
    </w:pPr>
    <w:rPr>
      <w:rFonts w:ascii="Times New Roman" w:hAnsi="Times New Roman" w:eastAsia="黑体" w:cs="宋体"/>
      <w:b w:val="0"/>
      <w:bCs w:val="0"/>
      <w:kern w:val="0"/>
      <w:szCs w:val="20"/>
    </w:rPr>
  </w:style>
  <w:style w:type="paragraph" w:customStyle="1" w:styleId="32">
    <w:name w:val="List Paragraph"/>
    <w:basedOn w:val="1"/>
    <w:qFormat/>
    <w:uiPriority w:val="1"/>
    <w:pPr>
      <w:ind w:left="235" w:hanging="527"/>
    </w:pPr>
    <w:rPr>
      <w:rFonts w:ascii="宋体" w:hAnsi="宋体" w:eastAsia="宋体" w:cs="宋体"/>
      <w:lang w:val="zh-CN" w:eastAsia="zh-CN" w:bidi="zh-CN"/>
    </w:rPr>
  </w:style>
  <w:style w:type="character" w:customStyle="1" w:styleId="33">
    <w:name w:val="正文文本缩进 Char"/>
    <w:link w:val="3"/>
    <w:qFormat/>
    <w:uiPriority w:val="0"/>
  </w:style>
  <w:style w:type="character" w:customStyle="1" w:styleId="34">
    <w:name w:val="纯文本 Char"/>
    <w:link w:val="12"/>
    <w:qFormat/>
    <w:uiPriority w:val="0"/>
    <w:rPr>
      <w:rFonts w:ascii="宋体" w:hAnsi="Courier New"/>
      <w:szCs w:val="20"/>
    </w:rPr>
  </w:style>
  <w:style w:type="paragraph" w:customStyle="1" w:styleId="35">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11238</Words>
  <Characters>11944</Characters>
  <Lines>180</Lines>
  <Paragraphs>50</Paragraphs>
  <TotalTime>0</TotalTime>
  <ScaleCrop>false</ScaleCrop>
  <LinksUpToDate>false</LinksUpToDate>
  <CharactersWithSpaces>13718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2022-05-24T02:11:00Z</dcterms:created>
  <dc:creator>许鹏</dc:creator>
  <cp:lastModifiedBy>admin</cp:lastModifiedBy>
  <cp:lastPrinted>2023-12-12T08:45:00Z</cp:lastPrinted>
  <dcterms:modified xsi:type="dcterms:W3CDTF">2024-06-27T02:41:56Z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C083EC9FF9154B4B85C24E443F95461D_13</vt:lpwstr>
  </property>
</Properties>
</file>